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F9CE6" w14:textId="04D39F1D" w:rsidR="000C25A7" w:rsidRDefault="000C25A7" w:rsidP="001402AB">
      <w:pPr>
        <w:shd w:val="clear" w:color="auto" w:fill="FFFFFF"/>
        <w:spacing w:after="100" w:afterAutospacing="1" w:line="360" w:lineRule="auto"/>
        <w:jc w:val="center"/>
        <w:rPr>
          <w:rFonts w:ascii="Times New Roman" w:hAnsi="Times New Roman" w:cs="Times New Roman"/>
          <w:b/>
          <w:bCs/>
          <w:i/>
          <w:iCs/>
          <w:sz w:val="24"/>
          <w:szCs w:val="24"/>
        </w:rPr>
      </w:pPr>
      <w:r w:rsidRPr="008C3613">
        <w:rPr>
          <w:rFonts w:ascii="Times New Roman" w:hAnsi="Times New Roman" w:cs="Times New Roman"/>
          <w:b/>
          <w:bCs/>
          <w:i/>
          <w:iCs/>
          <w:sz w:val="24"/>
          <w:szCs w:val="24"/>
        </w:rPr>
        <w:t xml:space="preserve">The High Court Rules Committee </w:t>
      </w:r>
      <w:r w:rsidR="00706B01">
        <w:rPr>
          <w:rFonts w:ascii="Times New Roman" w:hAnsi="Times New Roman" w:cs="Times New Roman"/>
          <w:b/>
          <w:bCs/>
          <w:i/>
          <w:iCs/>
          <w:sz w:val="24"/>
          <w:szCs w:val="24"/>
        </w:rPr>
        <w:t xml:space="preserve">Proposals on </w:t>
      </w:r>
      <w:r w:rsidR="00706B01" w:rsidRPr="00706B01">
        <w:rPr>
          <w:rFonts w:ascii="Times New Roman" w:hAnsi="Times New Roman" w:cs="Times New Roman"/>
          <w:b/>
          <w:bCs/>
          <w:i/>
          <w:iCs/>
          <w:sz w:val="24"/>
          <w:szCs w:val="24"/>
        </w:rPr>
        <w:t>Improving Access to Civil Justice</w:t>
      </w:r>
    </w:p>
    <w:p w14:paraId="29EE46D4" w14:textId="4F047FF8" w:rsidR="00706B01" w:rsidRPr="008C3613" w:rsidRDefault="00706B01" w:rsidP="001402AB">
      <w:pPr>
        <w:shd w:val="clear" w:color="auto" w:fill="FFFFFF"/>
        <w:spacing w:after="100" w:afterAutospacing="1" w:line="360" w:lineRule="auto"/>
        <w:jc w:val="center"/>
        <w:rPr>
          <w:rFonts w:ascii="Times New Roman" w:eastAsia="Times New Roman" w:hAnsi="Times New Roman" w:cs="Times New Roman"/>
          <w:b/>
          <w:bCs/>
          <w:color w:val="000000"/>
          <w:sz w:val="32"/>
          <w:szCs w:val="32"/>
          <w:u w:val="single"/>
          <w:lang w:eastAsia="en-NZ"/>
        </w:rPr>
      </w:pPr>
      <w:r>
        <w:rPr>
          <w:rFonts w:ascii="Times New Roman" w:hAnsi="Times New Roman" w:cs="Times New Roman"/>
          <w:b/>
          <w:bCs/>
          <w:i/>
          <w:iCs/>
          <w:sz w:val="24"/>
          <w:szCs w:val="24"/>
        </w:rPr>
        <w:t>Summary Judgment Triage</w:t>
      </w:r>
    </w:p>
    <w:p w14:paraId="1F7C2208" w14:textId="77777777" w:rsidR="008C3613" w:rsidRPr="008C3613" w:rsidRDefault="008C3613" w:rsidP="00731727">
      <w:pPr>
        <w:spacing w:line="360" w:lineRule="auto"/>
        <w:jc w:val="both"/>
        <w:rPr>
          <w:rFonts w:ascii="Times New Roman" w:hAnsi="Times New Roman" w:cs="Times New Roman"/>
          <w:b/>
          <w:bCs/>
          <w:i/>
          <w:iCs/>
          <w:sz w:val="24"/>
          <w:szCs w:val="24"/>
        </w:rPr>
      </w:pPr>
    </w:p>
    <w:p w14:paraId="2EA5F0FB" w14:textId="150BAB11" w:rsidR="000C25A7" w:rsidRPr="008C3613" w:rsidRDefault="000C25A7" w:rsidP="00731727">
      <w:pPr>
        <w:pStyle w:val="ListParagraph"/>
        <w:numPr>
          <w:ilvl w:val="0"/>
          <w:numId w:val="1"/>
        </w:numPr>
        <w:spacing w:line="360" w:lineRule="auto"/>
        <w:ind w:hanging="720"/>
        <w:jc w:val="both"/>
        <w:rPr>
          <w:rFonts w:ascii="Times New Roman" w:hAnsi="Times New Roman" w:cs="Times New Roman"/>
          <w:i/>
          <w:iCs/>
          <w:sz w:val="28"/>
          <w:szCs w:val="28"/>
        </w:rPr>
      </w:pPr>
      <w:r w:rsidRPr="008C3613">
        <w:rPr>
          <w:rFonts w:ascii="Times New Roman" w:hAnsi="Times New Roman" w:cs="Times New Roman"/>
          <w:i/>
          <w:iCs/>
          <w:sz w:val="28"/>
          <w:szCs w:val="28"/>
        </w:rPr>
        <w:t>Introduction</w:t>
      </w:r>
    </w:p>
    <w:p w14:paraId="7BAE5E33" w14:textId="77777777" w:rsidR="008C3613" w:rsidRPr="008C3613" w:rsidRDefault="008C3613" w:rsidP="00731727">
      <w:pPr>
        <w:pStyle w:val="ListParagraph"/>
        <w:spacing w:line="360" w:lineRule="auto"/>
        <w:jc w:val="both"/>
        <w:rPr>
          <w:rFonts w:ascii="Times New Roman" w:hAnsi="Times New Roman" w:cs="Times New Roman"/>
          <w:i/>
          <w:iCs/>
          <w:sz w:val="28"/>
          <w:szCs w:val="28"/>
        </w:rPr>
      </w:pPr>
    </w:p>
    <w:p w14:paraId="63472234" w14:textId="4DA56D2D" w:rsidR="00ED5E4F" w:rsidRDefault="000C25A7" w:rsidP="007D7137">
      <w:pPr>
        <w:spacing w:line="360" w:lineRule="auto"/>
        <w:jc w:val="both"/>
        <w:rPr>
          <w:rFonts w:ascii="Times New Roman" w:hAnsi="Times New Roman" w:cs="Times New Roman"/>
          <w:sz w:val="24"/>
          <w:szCs w:val="24"/>
        </w:rPr>
      </w:pPr>
      <w:r w:rsidRPr="008C3613">
        <w:rPr>
          <w:rFonts w:ascii="Times New Roman" w:hAnsi="Times New Roman" w:cs="Times New Roman"/>
          <w:sz w:val="24"/>
          <w:szCs w:val="24"/>
        </w:rPr>
        <w:t xml:space="preserve">The High Court Rules Committee </w:t>
      </w:r>
      <w:r w:rsidR="00883C9B">
        <w:rPr>
          <w:rFonts w:ascii="Times New Roman" w:hAnsi="Times New Roman" w:cs="Times New Roman"/>
          <w:sz w:val="24"/>
          <w:szCs w:val="24"/>
        </w:rPr>
        <w:t>(“the</w:t>
      </w:r>
      <w:r w:rsidR="00883C9B">
        <w:rPr>
          <w:rFonts w:ascii="Times New Roman" w:hAnsi="Times New Roman" w:cs="Times New Roman"/>
          <w:b/>
          <w:bCs/>
          <w:sz w:val="24"/>
          <w:szCs w:val="24"/>
        </w:rPr>
        <w:t xml:space="preserve"> </w:t>
      </w:r>
      <w:r w:rsidR="00883C9B" w:rsidRPr="00883C9B">
        <w:rPr>
          <w:rFonts w:ascii="Times New Roman" w:hAnsi="Times New Roman" w:cs="Times New Roman"/>
          <w:sz w:val="24"/>
          <w:szCs w:val="24"/>
        </w:rPr>
        <w:t>Committee</w:t>
      </w:r>
      <w:r w:rsidR="00883C9B">
        <w:rPr>
          <w:rFonts w:ascii="Times New Roman" w:hAnsi="Times New Roman" w:cs="Times New Roman"/>
          <w:sz w:val="24"/>
          <w:szCs w:val="24"/>
        </w:rPr>
        <w:t xml:space="preserve">”) </w:t>
      </w:r>
      <w:r w:rsidRPr="00883C9B">
        <w:rPr>
          <w:rFonts w:ascii="Times New Roman" w:hAnsi="Times New Roman" w:cs="Times New Roman"/>
          <w:sz w:val="24"/>
          <w:szCs w:val="24"/>
        </w:rPr>
        <w:t>is</w:t>
      </w:r>
      <w:r w:rsidRPr="008C3613">
        <w:rPr>
          <w:rFonts w:ascii="Times New Roman" w:hAnsi="Times New Roman" w:cs="Times New Roman"/>
          <w:sz w:val="24"/>
          <w:szCs w:val="24"/>
        </w:rPr>
        <w:t xml:space="preserve"> currently seeking feedback on its reformative proposition that most proceedings should be required to begin with a </w:t>
      </w:r>
      <w:r w:rsidR="00C94ECB">
        <w:rPr>
          <w:rFonts w:ascii="Times New Roman" w:hAnsi="Times New Roman" w:cs="Times New Roman"/>
          <w:sz w:val="24"/>
          <w:szCs w:val="24"/>
        </w:rPr>
        <w:t>s</w:t>
      </w:r>
      <w:r w:rsidRPr="008C3613">
        <w:rPr>
          <w:rFonts w:ascii="Times New Roman" w:hAnsi="Times New Roman" w:cs="Times New Roman"/>
          <w:sz w:val="24"/>
          <w:szCs w:val="24"/>
        </w:rPr>
        <w:t xml:space="preserve">ummary </w:t>
      </w:r>
      <w:r w:rsidR="00C94ECB">
        <w:rPr>
          <w:rFonts w:ascii="Times New Roman" w:hAnsi="Times New Roman" w:cs="Times New Roman"/>
          <w:sz w:val="24"/>
          <w:szCs w:val="24"/>
        </w:rPr>
        <w:t>j</w:t>
      </w:r>
      <w:r w:rsidRPr="008C3613">
        <w:rPr>
          <w:rFonts w:ascii="Times New Roman" w:hAnsi="Times New Roman" w:cs="Times New Roman"/>
          <w:sz w:val="24"/>
          <w:szCs w:val="24"/>
        </w:rPr>
        <w:t>udgment application.</w:t>
      </w:r>
      <w:r w:rsidRPr="008C3613">
        <w:rPr>
          <w:rStyle w:val="FootnoteReference"/>
          <w:rFonts w:ascii="Times New Roman" w:hAnsi="Times New Roman" w:cs="Times New Roman"/>
          <w:sz w:val="24"/>
          <w:szCs w:val="24"/>
        </w:rPr>
        <w:footnoteReference w:id="1"/>
      </w:r>
      <w:r w:rsidRPr="008C3613">
        <w:rPr>
          <w:rFonts w:ascii="Times New Roman" w:hAnsi="Times New Roman" w:cs="Times New Roman"/>
          <w:sz w:val="24"/>
          <w:szCs w:val="24"/>
        </w:rPr>
        <w:t xml:space="preserve"> </w:t>
      </w:r>
      <w:r w:rsidR="00382B52">
        <w:rPr>
          <w:rFonts w:ascii="Times New Roman" w:hAnsi="Times New Roman" w:cs="Times New Roman"/>
          <w:sz w:val="24"/>
          <w:szCs w:val="24"/>
        </w:rPr>
        <w:t>The purpose of the Committee’s reform is to address the justice gap,</w:t>
      </w:r>
      <w:r w:rsidR="00382B52">
        <w:rPr>
          <w:rStyle w:val="FootnoteReference"/>
          <w:rFonts w:ascii="Times New Roman" w:hAnsi="Times New Roman" w:cs="Times New Roman"/>
          <w:sz w:val="24"/>
          <w:szCs w:val="24"/>
        </w:rPr>
        <w:footnoteReference w:id="2"/>
      </w:r>
      <w:r w:rsidR="00382B52">
        <w:rPr>
          <w:rFonts w:ascii="Times New Roman" w:hAnsi="Times New Roman" w:cs="Times New Roman"/>
          <w:sz w:val="24"/>
          <w:szCs w:val="24"/>
        </w:rPr>
        <w:t xml:space="preserve"> by attempting to streamline litigation</w:t>
      </w:r>
      <w:r w:rsidR="006A06A5">
        <w:rPr>
          <w:rFonts w:ascii="Times New Roman" w:hAnsi="Times New Roman" w:cs="Times New Roman"/>
          <w:sz w:val="24"/>
          <w:szCs w:val="24"/>
        </w:rPr>
        <w:t>.</w:t>
      </w:r>
      <w:r w:rsidR="00931862">
        <w:rPr>
          <w:rFonts w:ascii="Times New Roman" w:hAnsi="Times New Roman" w:cs="Times New Roman"/>
          <w:sz w:val="24"/>
          <w:szCs w:val="24"/>
        </w:rPr>
        <w:t xml:space="preserve"> There is a growing number of self-represented litigants solely as a result of </w:t>
      </w:r>
      <w:r w:rsidR="006A06A5">
        <w:rPr>
          <w:rFonts w:ascii="Times New Roman" w:hAnsi="Times New Roman" w:cs="Times New Roman"/>
          <w:sz w:val="24"/>
          <w:szCs w:val="24"/>
        </w:rPr>
        <w:t xml:space="preserve">the affordability of litigation </w:t>
      </w:r>
      <w:r w:rsidR="00931862">
        <w:rPr>
          <w:rFonts w:ascii="Times New Roman" w:hAnsi="Times New Roman" w:cs="Times New Roman"/>
          <w:sz w:val="24"/>
          <w:szCs w:val="24"/>
        </w:rPr>
        <w:t>which is impacting the Court’s ability to come to a just determination as “p</w:t>
      </w:r>
      <w:r w:rsidR="00931862" w:rsidRPr="00931862">
        <w:rPr>
          <w:rFonts w:ascii="Times New Roman" w:hAnsi="Times New Roman" w:cs="Times New Roman"/>
          <w:sz w:val="24"/>
          <w:szCs w:val="24"/>
        </w:rPr>
        <w:t>ersons who lack legal knowledge are therefore poorly placed to defend their</w:t>
      </w:r>
      <w:r w:rsidR="00931862">
        <w:rPr>
          <w:rFonts w:ascii="Times New Roman" w:hAnsi="Times New Roman" w:cs="Times New Roman"/>
          <w:sz w:val="24"/>
          <w:szCs w:val="24"/>
        </w:rPr>
        <w:t xml:space="preserve"> </w:t>
      </w:r>
      <w:r w:rsidR="00931862" w:rsidRPr="00931862">
        <w:rPr>
          <w:rFonts w:ascii="Times New Roman" w:hAnsi="Times New Roman" w:cs="Times New Roman"/>
          <w:sz w:val="24"/>
          <w:szCs w:val="24"/>
        </w:rPr>
        <w:t>rights in Court</w:t>
      </w:r>
      <w:r w:rsidR="00931862">
        <w:rPr>
          <w:rFonts w:ascii="Times New Roman" w:hAnsi="Times New Roman" w:cs="Times New Roman"/>
          <w:sz w:val="24"/>
          <w:szCs w:val="24"/>
        </w:rPr>
        <w:t>.”</w:t>
      </w:r>
      <w:r w:rsidR="00931862">
        <w:rPr>
          <w:rStyle w:val="FootnoteReference"/>
          <w:rFonts w:ascii="Times New Roman" w:hAnsi="Times New Roman" w:cs="Times New Roman"/>
          <w:sz w:val="24"/>
          <w:szCs w:val="24"/>
        </w:rPr>
        <w:footnoteReference w:id="3"/>
      </w:r>
      <w:r w:rsidR="006A06A5">
        <w:rPr>
          <w:rFonts w:ascii="Times New Roman" w:hAnsi="Times New Roman" w:cs="Times New Roman"/>
          <w:sz w:val="24"/>
          <w:szCs w:val="24"/>
        </w:rPr>
        <w:t xml:space="preserve"> </w:t>
      </w:r>
      <w:r w:rsidR="00662855">
        <w:rPr>
          <w:rFonts w:ascii="Times New Roman" w:hAnsi="Times New Roman" w:cs="Times New Roman"/>
          <w:sz w:val="24"/>
          <w:szCs w:val="24"/>
        </w:rPr>
        <w:t>Th</w:t>
      </w:r>
      <w:r w:rsidR="00931862">
        <w:rPr>
          <w:rFonts w:ascii="Times New Roman" w:hAnsi="Times New Roman" w:cs="Times New Roman"/>
          <w:sz w:val="24"/>
          <w:szCs w:val="24"/>
        </w:rPr>
        <w:t>is contradicts the Court’s</w:t>
      </w:r>
      <w:r w:rsidR="00662855">
        <w:rPr>
          <w:rFonts w:ascii="Times New Roman" w:hAnsi="Times New Roman" w:cs="Times New Roman"/>
          <w:sz w:val="24"/>
          <w:szCs w:val="24"/>
        </w:rPr>
        <w:t xml:space="preserve"> objective to facilitate the </w:t>
      </w:r>
      <w:r w:rsidR="00662855" w:rsidRPr="00662855">
        <w:rPr>
          <w:rFonts w:ascii="Times New Roman" w:hAnsi="Times New Roman" w:cs="Times New Roman"/>
          <w:sz w:val="24"/>
          <w:szCs w:val="24"/>
        </w:rPr>
        <w:t>just, speedy, and inexpensive determination of any proceeding</w:t>
      </w:r>
      <w:r w:rsidR="00662855">
        <w:rPr>
          <w:rFonts w:ascii="Times New Roman" w:hAnsi="Times New Roman" w:cs="Times New Roman"/>
          <w:sz w:val="24"/>
          <w:szCs w:val="24"/>
        </w:rPr>
        <w:t>.”</w:t>
      </w:r>
      <w:r w:rsidR="00662855">
        <w:rPr>
          <w:rStyle w:val="FootnoteReference"/>
          <w:rFonts w:ascii="Times New Roman" w:hAnsi="Times New Roman" w:cs="Times New Roman"/>
          <w:sz w:val="24"/>
          <w:szCs w:val="24"/>
        </w:rPr>
        <w:footnoteReference w:id="4"/>
      </w:r>
      <w:r w:rsidR="00662855">
        <w:rPr>
          <w:rFonts w:ascii="Times New Roman" w:hAnsi="Times New Roman" w:cs="Times New Roman"/>
          <w:sz w:val="24"/>
          <w:szCs w:val="24"/>
        </w:rPr>
        <w:t xml:space="preserve"> The growing need for civil justice is negatively impacting the Court’s ability to meet this </w:t>
      </w:r>
      <w:r w:rsidR="008D361A">
        <w:rPr>
          <w:rFonts w:ascii="Times New Roman" w:hAnsi="Times New Roman" w:cs="Times New Roman"/>
          <w:sz w:val="24"/>
          <w:szCs w:val="24"/>
        </w:rPr>
        <w:t>civil need</w:t>
      </w:r>
      <w:r w:rsidR="00662855">
        <w:rPr>
          <w:rFonts w:ascii="Times New Roman" w:hAnsi="Times New Roman" w:cs="Times New Roman"/>
          <w:sz w:val="24"/>
          <w:szCs w:val="24"/>
        </w:rPr>
        <w:t xml:space="preserve"> and as a result the Committee </w:t>
      </w:r>
      <w:r w:rsidR="008D361A">
        <w:rPr>
          <w:rFonts w:ascii="Times New Roman" w:hAnsi="Times New Roman" w:cs="Times New Roman"/>
          <w:sz w:val="24"/>
          <w:szCs w:val="24"/>
        </w:rPr>
        <w:t>must find a suitable</w:t>
      </w:r>
      <w:r w:rsidR="00662855">
        <w:rPr>
          <w:rFonts w:ascii="Times New Roman" w:hAnsi="Times New Roman" w:cs="Times New Roman"/>
          <w:sz w:val="24"/>
          <w:szCs w:val="24"/>
        </w:rPr>
        <w:t xml:space="preserve"> reform </w:t>
      </w:r>
      <w:r w:rsidR="008D361A">
        <w:rPr>
          <w:rFonts w:ascii="Times New Roman" w:hAnsi="Times New Roman" w:cs="Times New Roman"/>
          <w:sz w:val="24"/>
          <w:szCs w:val="24"/>
        </w:rPr>
        <w:t>to</w:t>
      </w:r>
      <w:r w:rsidR="00662855">
        <w:rPr>
          <w:rFonts w:ascii="Times New Roman" w:hAnsi="Times New Roman" w:cs="Times New Roman"/>
          <w:sz w:val="24"/>
          <w:szCs w:val="24"/>
        </w:rPr>
        <w:t xml:space="preserve"> current litigation procedure.</w:t>
      </w:r>
    </w:p>
    <w:p w14:paraId="50C0BECD" w14:textId="138F8589" w:rsidR="00605A69" w:rsidRPr="007D7137" w:rsidRDefault="000C25A7" w:rsidP="007D7137">
      <w:pPr>
        <w:spacing w:line="360" w:lineRule="auto"/>
        <w:jc w:val="both"/>
        <w:rPr>
          <w:rFonts w:ascii="Times New Roman" w:hAnsi="Times New Roman" w:cs="Times New Roman"/>
        </w:rPr>
      </w:pPr>
      <w:r w:rsidRPr="008C3613">
        <w:rPr>
          <w:rFonts w:ascii="Times New Roman" w:hAnsi="Times New Roman" w:cs="Times New Roman"/>
          <w:sz w:val="24"/>
          <w:szCs w:val="24"/>
        </w:rPr>
        <w:t xml:space="preserve">Summary Judgment applications provide an avenue for litigants to </w:t>
      </w:r>
      <w:r w:rsidR="001872D9">
        <w:rPr>
          <w:rFonts w:ascii="Times New Roman" w:hAnsi="Times New Roman" w:cs="Times New Roman"/>
          <w:sz w:val="24"/>
          <w:szCs w:val="24"/>
        </w:rPr>
        <w:t>have their case determined</w:t>
      </w:r>
      <w:r w:rsidRPr="008C3613">
        <w:rPr>
          <w:rFonts w:ascii="Times New Roman" w:hAnsi="Times New Roman" w:cs="Times New Roman"/>
          <w:sz w:val="24"/>
          <w:szCs w:val="24"/>
        </w:rPr>
        <w:t>, at an early stage of proceedings</w:t>
      </w:r>
      <w:r w:rsidR="001872D9">
        <w:rPr>
          <w:rFonts w:ascii="Times New Roman" w:hAnsi="Times New Roman" w:cs="Times New Roman"/>
          <w:sz w:val="24"/>
          <w:szCs w:val="24"/>
        </w:rPr>
        <w:t xml:space="preserve"> before trial</w:t>
      </w:r>
      <w:r w:rsidRPr="008C3613">
        <w:rPr>
          <w:rFonts w:ascii="Times New Roman" w:hAnsi="Times New Roman" w:cs="Times New Roman"/>
          <w:sz w:val="24"/>
          <w:szCs w:val="24"/>
        </w:rPr>
        <w:t xml:space="preserve">, if they can satisfy the Court </w:t>
      </w:r>
      <w:r w:rsidR="006733EF" w:rsidRPr="008C3613">
        <w:rPr>
          <w:rFonts w:ascii="Times New Roman" w:hAnsi="Times New Roman" w:cs="Times New Roman"/>
          <w:sz w:val="24"/>
          <w:szCs w:val="24"/>
        </w:rPr>
        <w:t>that there is no cause of action or defence to a cause of action available to the other party</w:t>
      </w:r>
      <w:r w:rsidRPr="008C3613">
        <w:rPr>
          <w:rFonts w:ascii="Times New Roman" w:hAnsi="Times New Roman" w:cs="Times New Roman"/>
        </w:rPr>
        <w:t>.</w:t>
      </w:r>
      <w:r w:rsidRPr="008C3613">
        <w:rPr>
          <w:rStyle w:val="FootnoteReference"/>
          <w:rFonts w:ascii="Times New Roman" w:hAnsi="Times New Roman" w:cs="Times New Roman"/>
        </w:rPr>
        <w:footnoteReference w:id="5"/>
      </w:r>
      <w:r w:rsidR="00883C9B">
        <w:rPr>
          <w:rFonts w:ascii="Times New Roman" w:hAnsi="Times New Roman" w:cs="Times New Roman"/>
        </w:rPr>
        <w:t xml:space="preserve"> </w:t>
      </w:r>
      <w:r w:rsidR="00883C9B" w:rsidRPr="00883C9B">
        <w:rPr>
          <w:rFonts w:ascii="Times New Roman" w:hAnsi="Times New Roman" w:cs="Times New Roman"/>
          <w:sz w:val="24"/>
          <w:szCs w:val="24"/>
        </w:rPr>
        <w:t>The basis for the Committee’s proposition is that a mandatory summary judgment applicatio</w:t>
      </w:r>
      <w:r w:rsidR="00883C9B">
        <w:rPr>
          <w:rFonts w:ascii="Times New Roman" w:hAnsi="Times New Roman" w:cs="Times New Roman"/>
          <w:sz w:val="24"/>
          <w:szCs w:val="24"/>
        </w:rPr>
        <w:t>n will act as a mechanism to triage proceedings by providing an early clarification of issues, the adequacy of evidence, the probable judicial reaction and the best path for trial.</w:t>
      </w:r>
      <w:r w:rsidR="007A439D">
        <w:rPr>
          <w:rStyle w:val="FootnoteReference"/>
          <w:rFonts w:ascii="Times New Roman" w:hAnsi="Times New Roman" w:cs="Times New Roman"/>
          <w:sz w:val="24"/>
          <w:szCs w:val="24"/>
        </w:rPr>
        <w:footnoteReference w:id="6"/>
      </w:r>
      <w:r w:rsidR="00CE2381">
        <w:rPr>
          <w:rFonts w:ascii="Times New Roman" w:hAnsi="Times New Roman" w:cs="Times New Roman"/>
          <w:sz w:val="24"/>
          <w:szCs w:val="24"/>
        </w:rPr>
        <w:t xml:space="preserve"> This application would not be required for any proceeding where a cause of action can already be established like fraud or liquidated demands. </w:t>
      </w:r>
    </w:p>
    <w:p w14:paraId="3E347405" w14:textId="77777777" w:rsidR="00C25F49" w:rsidRPr="008C3613" w:rsidRDefault="00C25F49" w:rsidP="00731727">
      <w:pPr>
        <w:pStyle w:val="ListParagraph"/>
        <w:spacing w:line="360" w:lineRule="auto"/>
        <w:jc w:val="both"/>
        <w:rPr>
          <w:rFonts w:ascii="Times New Roman" w:hAnsi="Times New Roman" w:cs="Times New Roman"/>
        </w:rPr>
      </w:pPr>
    </w:p>
    <w:p w14:paraId="0F9CF222" w14:textId="102E7B07" w:rsidR="008C3613" w:rsidRPr="00C25F49" w:rsidRDefault="00C25F49" w:rsidP="00C25F49">
      <w:pPr>
        <w:pStyle w:val="ListParagraph"/>
        <w:numPr>
          <w:ilvl w:val="0"/>
          <w:numId w:val="1"/>
        </w:numPr>
        <w:spacing w:line="360" w:lineRule="auto"/>
        <w:ind w:hanging="720"/>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Early Clarification </w:t>
      </w:r>
      <w:r w:rsidR="004D41EC">
        <w:rPr>
          <w:rFonts w:ascii="Times New Roman" w:hAnsi="Times New Roman" w:cs="Times New Roman"/>
          <w:i/>
          <w:iCs/>
          <w:sz w:val="28"/>
          <w:szCs w:val="28"/>
        </w:rPr>
        <w:t>o</w:t>
      </w:r>
      <w:r>
        <w:rPr>
          <w:rFonts w:ascii="Times New Roman" w:hAnsi="Times New Roman" w:cs="Times New Roman"/>
          <w:i/>
          <w:iCs/>
          <w:sz w:val="28"/>
          <w:szCs w:val="28"/>
        </w:rPr>
        <w:t>f Issues</w:t>
      </w:r>
    </w:p>
    <w:p w14:paraId="46CED6B2" w14:textId="2DBE058D" w:rsidR="00ED0CAE" w:rsidRDefault="00401E7D" w:rsidP="00474E88">
      <w:pPr>
        <w:spacing w:line="360" w:lineRule="auto"/>
        <w:jc w:val="both"/>
        <w:rPr>
          <w:rFonts w:ascii="Times New Roman" w:hAnsi="Times New Roman" w:cs="Times New Roman"/>
          <w:sz w:val="24"/>
          <w:szCs w:val="24"/>
        </w:rPr>
      </w:pPr>
      <w:r w:rsidRPr="00474E88">
        <w:rPr>
          <w:rFonts w:ascii="Times New Roman" w:hAnsi="Times New Roman" w:cs="Times New Roman"/>
          <w:sz w:val="24"/>
          <w:szCs w:val="24"/>
        </w:rPr>
        <w:t xml:space="preserve">The Committee outlined that </w:t>
      </w:r>
      <w:r w:rsidR="00C25F49">
        <w:rPr>
          <w:rFonts w:ascii="Times New Roman" w:hAnsi="Times New Roman" w:cs="Times New Roman"/>
          <w:sz w:val="24"/>
          <w:szCs w:val="24"/>
        </w:rPr>
        <w:t>requiring all proceedings to commence with</w:t>
      </w:r>
      <w:r w:rsidRPr="00474E88">
        <w:rPr>
          <w:rFonts w:ascii="Times New Roman" w:hAnsi="Times New Roman" w:cs="Times New Roman"/>
          <w:sz w:val="24"/>
          <w:szCs w:val="24"/>
        </w:rPr>
        <w:t xml:space="preserve"> a mandatory summary judgment application wou</w:t>
      </w:r>
      <w:r w:rsidR="008B0D1D" w:rsidRPr="00474E88">
        <w:rPr>
          <w:rFonts w:ascii="Times New Roman" w:hAnsi="Times New Roman" w:cs="Times New Roman"/>
          <w:sz w:val="24"/>
          <w:szCs w:val="24"/>
        </w:rPr>
        <w:t>ld enable the parties to identify the points of difference early on in a proceeding.</w:t>
      </w:r>
      <w:r w:rsidR="0023458B">
        <w:rPr>
          <w:rStyle w:val="FootnoteReference"/>
          <w:rFonts w:ascii="Times New Roman" w:hAnsi="Times New Roman" w:cs="Times New Roman"/>
          <w:sz w:val="24"/>
          <w:szCs w:val="24"/>
        </w:rPr>
        <w:footnoteReference w:id="7"/>
      </w:r>
      <w:r w:rsidR="008B0D1D" w:rsidRPr="00474E88">
        <w:rPr>
          <w:rFonts w:ascii="Times New Roman" w:hAnsi="Times New Roman" w:cs="Times New Roman"/>
          <w:sz w:val="24"/>
          <w:szCs w:val="24"/>
        </w:rPr>
        <w:t xml:space="preserve"> </w:t>
      </w:r>
      <w:r w:rsidR="00C25F49">
        <w:rPr>
          <w:rFonts w:ascii="Times New Roman" w:hAnsi="Times New Roman" w:cs="Times New Roman"/>
          <w:sz w:val="24"/>
          <w:szCs w:val="24"/>
        </w:rPr>
        <w:t xml:space="preserve">When a party brings Court proceedings against another, the parties must determine what material or legal issues are in contention. It is important to clarify these issues as early as possible so that the parties are then able to debate these points and reach some form of resolution in a timely manner. </w:t>
      </w:r>
      <w:r w:rsidR="0023458B" w:rsidRPr="00474E88">
        <w:rPr>
          <w:rFonts w:ascii="Times New Roman" w:hAnsi="Times New Roman" w:cs="Times New Roman"/>
          <w:sz w:val="24"/>
          <w:szCs w:val="24"/>
        </w:rPr>
        <w:t xml:space="preserve">The current mechanism for identifying the points of difference in a case, prior to trial, are </w:t>
      </w:r>
      <w:r w:rsidR="00446941">
        <w:rPr>
          <w:rFonts w:ascii="Times New Roman" w:hAnsi="Times New Roman" w:cs="Times New Roman"/>
          <w:sz w:val="24"/>
          <w:szCs w:val="24"/>
        </w:rPr>
        <w:t>case management conferences</w:t>
      </w:r>
      <w:r w:rsidR="0023458B" w:rsidRPr="00474E88">
        <w:rPr>
          <w:rFonts w:ascii="Times New Roman" w:hAnsi="Times New Roman" w:cs="Times New Roman"/>
          <w:sz w:val="24"/>
          <w:szCs w:val="24"/>
        </w:rPr>
        <w:t>.</w:t>
      </w:r>
      <w:r w:rsidR="00446941">
        <w:rPr>
          <w:rStyle w:val="FootnoteReference"/>
          <w:rFonts w:ascii="Times New Roman" w:hAnsi="Times New Roman" w:cs="Times New Roman"/>
          <w:sz w:val="24"/>
          <w:szCs w:val="24"/>
        </w:rPr>
        <w:footnoteReference w:id="8"/>
      </w:r>
      <w:r w:rsidR="0023458B" w:rsidRPr="00474E88">
        <w:rPr>
          <w:rFonts w:ascii="Times New Roman" w:hAnsi="Times New Roman" w:cs="Times New Roman"/>
          <w:sz w:val="24"/>
          <w:szCs w:val="24"/>
        </w:rPr>
        <w:t xml:space="preserve"> </w:t>
      </w:r>
      <w:r w:rsidR="00C25F49">
        <w:rPr>
          <w:rFonts w:ascii="Times New Roman" w:hAnsi="Times New Roman" w:cs="Times New Roman"/>
          <w:sz w:val="24"/>
          <w:szCs w:val="24"/>
        </w:rPr>
        <w:t xml:space="preserve">The Committee has proposed this reform as the </w:t>
      </w:r>
      <w:r w:rsidR="00ED0CAE">
        <w:rPr>
          <w:rFonts w:ascii="Times New Roman" w:hAnsi="Times New Roman" w:cs="Times New Roman"/>
          <w:sz w:val="24"/>
          <w:szCs w:val="24"/>
        </w:rPr>
        <w:t xml:space="preserve">adopting a triage instrument would allow the </w:t>
      </w:r>
      <w:r w:rsidR="00C25F49">
        <w:rPr>
          <w:rFonts w:ascii="Times New Roman" w:hAnsi="Times New Roman" w:cs="Times New Roman"/>
          <w:sz w:val="24"/>
          <w:szCs w:val="24"/>
        </w:rPr>
        <w:t xml:space="preserve">clarification of these issues </w:t>
      </w:r>
      <w:r w:rsidR="00ED0CAE">
        <w:rPr>
          <w:rFonts w:ascii="Times New Roman" w:hAnsi="Times New Roman" w:cs="Times New Roman"/>
          <w:sz w:val="24"/>
          <w:szCs w:val="24"/>
        </w:rPr>
        <w:t xml:space="preserve">to occur prior to the commencement of ordinary proceedings. </w:t>
      </w:r>
    </w:p>
    <w:p w14:paraId="0AD5CCA4" w14:textId="62BB54CF" w:rsidR="00ED0CAE" w:rsidRDefault="00ED0CAE" w:rsidP="00474E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Committee has set out </w:t>
      </w:r>
      <w:r w:rsidR="008C0E14">
        <w:rPr>
          <w:rFonts w:ascii="Times New Roman" w:hAnsi="Times New Roman" w:cs="Times New Roman"/>
          <w:sz w:val="24"/>
          <w:szCs w:val="24"/>
        </w:rPr>
        <w:t>that the requirement for parties to commence a</w:t>
      </w:r>
      <w:r>
        <w:rPr>
          <w:rFonts w:ascii="Times New Roman" w:hAnsi="Times New Roman" w:cs="Times New Roman"/>
          <w:sz w:val="24"/>
          <w:szCs w:val="24"/>
        </w:rPr>
        <w:t xml:space="preserve"> mandatory summary judgment </w:t>
      </w:r>
      <w:r w:rsidR="008C0E14">
        <w:rPr>
          <w:rFonts w:ascii="Times New Roman" w:hAnsi="Times New Roman" w:cs="Times New Roman"/>
          <w:sz w:val="24"/>
          <w:szCs w:val="24"/>
        </w:rPr>
        <w:t>application will</w:t>
      </w:r>
      <w:r>
        <w:rPr>
          <w:rFonts w:ascii="Times New Roman" w:hAnsi="Times New Roman" w:cs="Times New Roman"/>
          <w:sz w:val="24"/>
          <w:szCs w:val="24"/>
        </w:rPr>
        <w:t xml:space="preserve"> allow ordinary proceedings to operate in a timely fashion. </w:t>
      </w:r>
      <w:r w:rsidR="0009339B">
        <w:rPr>
          <w:rFonts w:ascii="Times New Roman" w:hAnsi="Times New Roman" w:cs="Times New Roman"/>
          <w:sz w:val="24"/>
          <w:szCs w:val="24"/>
        </w:rPr>
        <w:t>However, this</w:t>
      </w:r>
      <w:r>
        <w:rPr>
          <w:rFonts w:ascii="Times New Roman" w:hAnsi="Times New Roman" w:cs="Times New Roman"/>
          <w:sz w:val="24"/>
          <w:szCs w:val="24"/>
        </w:rPr>
        <w:t xml:space="preserve"> proposition appears to be misguided for two reasons. Firstly, there is a minute number of applicants that have summary judgments awarded in their favour. Therefore, the number of proceedings</w:t>
      </w:r>
      <w:r w:rsidR="00A119BC">
        <w:rPr>
          <w:rFonts w:ascii="Times New Roman" w:hAnsi="Times New Roman" w:cs="Times New Roman"/>
          <w:sz w:val="24"/>
          <w:szCs w:val="24"/>
        </w:rPr>
        <w:t xml:space="preserve"> that would be dealt with solely in the triage mechanism would be insignificant. Secondly, </w:t>
      </w:r>
      <w:r w:rsidR="00AD6B11">
        <w:rPr>
          <w:rFonts w:ascii="Times New Roman" w:hAnsi="Times New Roman" w:cs="Times New Roman"/>
          <w:sz w:val="24"/>
          <w:szCs w:val="24"/>
        </w:rPr>
        <w:t xml:space="preserve">clarification of the issues in contention will still need to occur at some point in the proceeding. Whether or not this clarification is made early in the summary judgment application or later in the ordinary proceeding will be indifferent as to the timely operation of the Court. On that basis, the proposition to introduce a mandatory summary judgment application prior to the commencement of ordinary proceedings by the Committee should be rejected. </w:t>
      </w:r>
    </w:p>
    <w:p w14:paraId="2E8032E6" w14:textId="4FDAC2F8" w:rsidR="008C3613" w:rsidRPr="004D41EC" w:rsidRDefault="008C3613" w:rsidP="004D41EC">
      <w:pPr>
        <w:spacing w:line="360" w:lineRule="auto"/>
        <w:jc w:val="both"/>
        <w:rPr>
          <w:rFonts w:ascii="Times New Roman" w:hAnsi="Times New Roman" w:cs="Times New Roman"/>
          <w:sz w:val="24"/>
          <w:szCs w:val="24"/>
        </w:rPr>
      </w:pPr>
    </w:p>
    <w:p w14:paraId="59F3BDB9" w14:textId="4DA18BC9" w:rsidR="004D41EC" w:rsidRPr="00C25F49" w:rsidRDefault="004D41EC" w:rsidP="004D41EC">
      <w:pPr>
        <w:pStyle w:val="ListParagraph"/>
        <w:numPr>
          <w:ilvl w:val="0"/>
          <w:numId w:val="1"/>
        </w:numPr>
        <w:spacing w:line="360" w:lineRule="auto"/>
        <w:ind w:hanging="720"/>
        <w:jc w:val="both"/>
        <w:rPr>
          <w:rFonts w:ascii="Times New Roman" w:hAnsi="Times New Roman" w:cs="Times New Roman"/>
          <w:i/>
          <w:iCs/>
          <w:sz w:val="28"/>
          <w:szCs w:val="28"/>
        </w:rPr>
      </w:pPr>
      <w:r>
        <w:rPr>
          <w:rFonts w:ascii="Times New Roman" w:hAnsi="Times New Roman" w:cs="Times New Roman"/>
          <w:i/>
          <w:iCs/>
          <w:sz w:val="28"/>
          <w:szCs w:val="28"/>
        </w:rPr>
        <w:t>Early Clarification of the Adequacy of Evidence</w:t>
      </w:r>
    </w:p>
    <w:p w14:paraId="624C71E6" w14:textId="3A584114" w:rsidR="008C3613" w:rsidRDefault="008C3613" w:rsidP="00731727">
      <w:pPr>
        <w:pStyle w:val="ListParagraph"/>
        <w:spacing w:line="360" w:lineRule="auto"/>
        <w:jc w:val="both"/>
        <w:rPr>
          <w:rFonts w:ascii="Times New Roman" w:hAnsi="Times New Roman" w:cs="Times New Roman"/>
        </w:rPr>
      </w:pPr>
    </w:p>
    <w:p w14:paraId="231C0EC3" w14:textId="03B94D06" w:rsidR="00FB3578" w:rsidRDefault="0023458B" w:rsidP="00474E88">
      <w:pPr>
        <w:spacing w:line="360" w:lineRule="auto"/>
        <w:jc w:val="both"/>
        <w:rPr>
          <w:rFonts w:ascii="Times New Roman" w:hAnsi="Times New Roman" w:cs="Times New Roman"/>
          <w:sz w:val="24"/>
          <w:szCs w:val="24"/>
        </w:rPr>
      </w:pPr>
      <w:r w:rsidRPr="004D41EC">
        <w:rPr>
          <w:rFonts w:ascii="Times New Roman" w:hAnsi="Times New Roman" w:cs="Times New Roman"/>
          <w:sz w:val="24"/>
          <w:szCs w:val="24"/>
        </w:rPr>
        <w:t xml:space="preserve">The Committee </w:t>
      </w:r>
      <w:r w:rsidR="00FB3578">
        <w:rPr>
          <w:rFonts w:ascii="Times New Roman" w:hAnsi="Times New Roman" w:cs="Times New Roman"/>
          <w:sz w:val="24"/>
          <w:szCs w:val="24"/>
        </w:rPr>
        <w:t xml:space="preserve">proposed that requiring parties to commence proceedings with a compulsory summary judgment application </w:t>
      </w:r>
      <w:r w:rsidR="003370F5" w:rsidRPr="004D41EC">
        <w:rPr>
          <w:rFonts w:ascii="Times New Roman" w:hAnsi="Times New Roman" w:cs="Times New Roman"/>
          <w:sz w:val="24"/>
          <w:szCs w:val="24"/>
        </w:rPr>
        <w:t>would allow for an early assessment of the adequacy of evidence.</w:t>
      </w:r>
      <w:r w:rsidR="00D55031">
        <w:rPr>
          <w:rStyle w:val="FootnoteReference"/>
          <w:rFonts w:ascii="Times New Roman" w:hAnsi="Times New Roman" w:cs="Times New Roman"/>
          <w:sz w:val="24"/>
          <w:szCs w:val="24"/>
        </w:rPr>
        <w:footnoteReference w:id="9"/>
      </w:r>
      <w:r w:rsidR="00FB3578">
        <w:rPr>
          <w:rFonts w:ascii="Times New Roman" w:hAnsi="Times New Roman" w:cs="Times New Roman"/>
          <w:sz w:val="24"/>
          <w:szCs w:val="24"/>
        </w:rPr>
        <w:t xml:space="preserve"> In civil litigation points, a common point of debate is what evidence produced by the Plaintiff is material to the proceedings and how wide the scope of discovery should be to determine the relevant issues. Debates surrounding necessity of the evidence often creates </w:t>
      </w:r>
      <w:r w:rsidR="00FB3578">
        <w:rPr>
          <w:rFonts w:ascii="Times New Roman" w:hAnsi="Times New Roman" w:cs="Times New Roman"/>
          <w:sz w:val="24"/>
          <w:szCs w:val="24"/>
        </w:rPr>
        <w:lastRenderedPageBreak/>
        <w:t xml:space="preserve">multiple additional applications to be made to the Court, such as applications for further and better discovery. These debates negatively impact the Court’s ability to operate in a timely manner. Reaching a determination of the scope of evidence and its relevancy in a summary judgment application would mean that these debates would not occur in an ordinary proceeding. </w:t>
      </w:r>
    </w:p>
    <w:p w14:paraId="0F3CAFFA" w14:textId="2F13C792" w:rsidR="003603D6" w:rsidRPr="0006036A" w:rsidRDefault="003603D6" w:rsidP="00474E88">
      <w:pPr>
        <w:spacing w:line="360" w:lineRule="auto"/>
        <w:jc w:val="both"/>
      </w:pPr>
      <w:r>
        <w:rPr>
          <w:rFonts w:ascii="Times New Roman" w:hAnsi="Times New Roman" w:cs="Times New Roman"/>
          <w:sz w:val="24"/>
          <w:szCs w:val="24"/>
        </w:rPr>
        <w:t xml:space="preserve">The Committee’s proposition would enable the ordinary proceedings to operate in a more timely fashion however this would </w:t>
      </w:r>
      <w:r w:rsidR="00706B01">
        <w:rPr>
          <w:rFonts w:ascii="Times New Roman" w:hAnsi="Times New Roman" w:cs="Times New Roman"/>
          <w:sz w:val="24"/>
          <w:szCs w:val="24"/>
        </w:rPr>
        <w:t>negatively</w:t>
      </w:r>
      <w:r w:rsidR="00A1765E">
        <w:rPr>
          <w:rFonts w:ascii="Times New Roman" w:hAnsi="Times New Roman" w:cs="Times New Roman"/>
          <w:sz w:val="24"/>
          <w:szCs w:val="24"/>
        </w:rPr>
        <w:t xml:space="preserve"> impact the time taken to reach a final determination. </w:t>
      </w:r>
      <w:r w:rsidR="00431CA0">
        <w:rPr>
          <w:rFonts w:ascii="Times New Roman" w:hAnsi="Times New Roman" w:cs="Times New Roman"/>
          <w:sz w:val="24"/>
          <w:szCs w:val="24"/>
        </w:rPr>
        <w:t>The</w:t>
      </w:r>
      <w:r w:rsidR="00EE4F06">
        <w:rPr>
          <w:rFonts w:ascii="Times New Roman" w:hAnsi="Times New Roman" w:cs="Times New Roman"/>
          <w:sz w:val="24"/>
          <w:szCs w:val="24"/>
        </w:rPr>
        <w:t xml:space="preserve"> scope of discovery is still an issue that would need to be debated at some point in a proceeding. Just because the necessity of evidence is clarified early on in a proceeding, does not mean that the argument becomes less time consuming.</w:t>
      </w:r>
      <w:r w:rsidR="0006036A">
        <w:rPr>
          <w:rFonts w:ascii="Times New Roman" w:hAnsi="Times New Roman" w:cs="Times New Roman"/>
          <w:sz w:val="24"/>
          <w:szCs w:val="24"/>
        </w:rPr>
        <w:t xml:space="preserve"> Therefore, the early clarification of the adequacy of evidence, through the introduction of a summary judgment triage mechanism, would provide no procedural benefit to civil litigation.</w:t>
      </w:r>
    </w:p>
    <w:p w14:paraId="1F08FE8E" w14:textId="77777777" w:rsidR="002B2519" w:rsidRPr="00FB3578" w:rsidRDefault="002B2519" w:rsidP="00FB3578">
      <w:pPr>
        <w:spacing w:line="360" w:lineRule="auto"/>
        <w:jc w:val="both"/>
        <w:rPr>
          <w:rFonts w:ascii="Times New Roman" w:hAnsi="Times New Roman" w:cs="Times New Roman"/>
        </w:rPr>
      </w:pPr>
    </w:p>
    <w:p w14:paraId="17A257C3" w14:textId="2B07B5A1" w:rsidR="0006036A" w:rsidRPr="00C25F49" w:rsidRDefault="0006036A" w:rsidP="0006036A">
      <w:pPr>
        <w:pStyle w:val="ListParagraph"/>
        <w:numPr>
          <w:ilvl w:val="0"/>
          <w:numId w:val="1"/>
        </w:numPr>
        <w:spacing w:line="360" w:lineRule="auto"/>
        <w:ind w:hanging="720"/>
        <w:jc w:val="both"/>
        <w:rPr>
          <w:rFonts w:ascii="Times New Roman" w:hAnsi="Times New Roman" w:cs="Times New Roman"/>
          <w:i/>
          <w:iCs/>
          <w:sz w:val="28"/>
          <w:szCs w:val="28"/>
        </w:rPr>
      </w:pPr>
      <w:r>
        <w:rPr>
          <w:rFonts w:ascii="Times New Roman" w:hAnsi="Times New Roman" w:cs="Times New Roman"/>
          <w:i/>
          <w:iCs/>
          <w:sz w:val="28"/>
          <w:szCs w:val="28"/>
        </w:rPr>
        <w:t>Informed Judicial Reactions</w:t>
      </w:r>
    </w:p>
    <w:p w14:paraId="18DFD9FA" w14:textId="3402E477" w:rsidR="008C3613" w:rsidRPr="008C3613" w:rsidRDefault="008C3613" w:rsidP="00731727">
      <w:pPr>
        <w:pStyle w:val="ListParagraph"/>
        <w:spacing w:line="360" w:lineRule="auto"/>
        <w:jc w:val="both"/>
        <w:rPr>
          <w:rFonts w:ascii="Times New Roman" w:hAnsi="Times New Roman" w:cs="Times New Roman"/>
          <w:b/>
          <w:bCs/>
        </w:rPr>
      </w:pPr>
    </w:p>
    <w:p w14:paraId="15621103" w14:textId="66288E46" w:rsidR="00B1004A" w:rsidRDefault="00ED5E4F" w:rsidP="00474E88">
      <w:pPr>
        <w:spacing w:line="360" w:lineRule="auto"/>
        <w:jc w:val="both"/>
        <w:rPr>
          <w:rFonts w:ascii="Times New Roman" w:hAnsi="Times New Roman" w:cs="Times New Roman"/>
          <w:sz w:val="24"/>
          <w:szCs w:val="24"/>
        </w:rPr>
      </w:pPr>
      <w:r w:rsidRPr="00474E88">
        <w:rPr>
          <w:rFonts w:ascii="Times New Roman" w:hAnsi="Times New Roman" w:cs="Times New Roman"/>
          <w:sz w:val="24"/>
          <w:szCs w:val="24"/>
        </w:rPr>
        <w:t xml:space="preserve">The Committee outlined that </w:t>
      </w:r>
      <w:r>
        <w:rPr>
          <w:rFonts w:ascii="Times New Roman" w:hAnsi="Times New Roman" w:cs="Times New Roman"/>
          <w:sz w:val="24"/>
          <w:szCs w:val="24"/>
        </w:rPr>
        <w:t>requiring all proceedings to commence with</w:t>
      </w:r>
      <w:r w:rsidRPr="00474E88">
        <w:rPr>
          <w:rFonts w:ascii="Times New Roman" w:hAnsi="Times New Roman" w:cs="Times New Roman"/>
          <w:sz w:val="24"/>
          <w:szCs w:val="24"/>
        </w:rPr>
        <w:t xml:space="preserve"> a </w:t>
      </w:r>
      <w:r>
        <w:rPr>
          <w:rFonts w:ascii="Times New Roman" w:hAnsi="Times New Roman" w:cs="Times New Roman"/>
          <w:sz w:val="24"/>
          <w:szCs w:val="24"/>
        </w:rPr>
        <w:t>compulsory</w:t>
      </w:r>
      <w:r w:rsidRPr="00474E88">
        <w:rPr>
          <w:rFonts w:ascii="Times New Roman" w:hAnsi="Times New Roman" w:cs="Times New Roman"/>
          <w:sz w:val="24"/>
          <w:szCs w:val="24"/>
        </w:rPr>
        <w:t xml:space="preserve"> summary judgment application would </w:t>
      </w:r>
      <w:r w:rsidR="00634613">
        <w:rPr>
          <w:rFonts w:ascii="Times New Roman" w:hAnsi="Times New Roman" w:cs="Times New Roman"/>
          <w:sz w:val="24"/>
          <w:szCs w:val="24"/>
        </w:rPr>
        <w:t>enable the parties to gain</w:t>
      </w:r>
      <w:r>
        <w:rPr>
          <w:rFonts w:ascii="Times New Roman" w:hAnsi="Times New Roman" w:cs="Times New Roman"/>
          <w:sz w:val="24"/>
          <w:szCs w:val="24"/>
        </w:rPr>
        <w:t xml:space="preserve"> an understanding </w:t>
      </w:r>
      <w:r w:rsidR="00B1004A">
        <w:rPr>
          <w:rFonts w:ascii="Times New Roman" w:hAnsi="Times New Roman" w:cs="Times New Roman"/>
          <w:sz w:val="24"/>
          <w:szCs w:val="24"/>
        </w:rPr>
        <w:t>as to</w:t>
      </w:r>
      <w:r>
        <w:rPr>
          <w:rFonts w:ascii="Times New Roman" w:hAnsi="Times New Roman" w:cs="Times New Roman"/>
          <w:sz w:val="24"/>
          <w:szCs w:val="24"/>
        </w:rPr>
        <w:t xml:space="preserve"> the Court’s probable position.</w:t>
      </w:r>
      <w:r w:rsidR="00D55031">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r w:rsidR="00B1004A">
        <w:rPr>
          <w:rFonts w:ascii="Times New Roman" w:hAnsi="Times New Roman" w:cs="Times New Roman"/>
          <w:sz w:val="24"/>
          <w:szCs w:val="24"/>
        </w:rPr>
        <w:t xml:space="preserve"> It </w:t>
      </w:r>
      <w:r w:rsidR="00B1004A" w:rsidRPr="00474E88">
        <w:rPr>
          <w:rFonts w:ascii="Times New Roman" w:hAnsi="Times New Roman" w:cs="Times New Roman"/>
          <w:sz w:val="24"/>
          <w:szCs w:val="24"/>
        </w:rPr>
        <w:t xml:space="preserve">is important in any system of justice that the Courts adopt a position of clarity. Lawyers and their clients often </w:t>
      </w:r>
      <w:r w:rsidR="00B1004A">
        <w:rPr>
          <w:rFonts w:ascii="Times New Roman" w:hAnsi="Times New Roman" w:cs="Times New Roman"/>
          <w:sz w:val="24"/>
          <w:szCs w:val="24"/>
        </w:rPr>
        <w:t>believe</w:t>
      </w:r>
      <w:r w:rsidR="00B1004A" w:rsidRPr="00474E88">
        <w:rPr>
          <w:rFonts w:ascii="Times New Roman" w:hAnsi="Times New Roman" w:cs="Times New Roman"/>
          <w:sz w:val="24"/>
          <w:szCs w:val="24"/>
        </w:rPr>
        <w:t xml:space="preserve"> that their argument </w:t>
      </w:r>
      <w:proofErr w:type="gramStart"/>
      <w:r w:rsidR="00B1004A" w:rsidRPr="00474E88">
        <w:rPr>
          <w:rFonts w:ascii="Times New Roman" w:hAnsi="Times New Roman" w:cs="Times New Roman"/>
          <w:sz w:val="24"/>
          <w:szCs w:val="24"/>
        </w:rPr>
        <w:t>has the ability to</w:t>
      </w:r>
      <w:proofErr w:type="gramEnd"/>
      <w:r w:rsidR="00B1004A" w:rsidRPr="00474E88">
        <w:rPr>
          <w:rFonts w:ascii="Times New Roman" w:hAnsi="Times New Roman" w:cs="Times New Roman"/>
          <w:sz w:val="24"/>
          <w:szCs w:val="24"/>
        </w:rPr>
        <w:t xml:space="preserve"> win and it would be pointless to fund a legal proceeding otherwise</w:t>
      </w:r>
      <w:r w:rsidR="00B1004A">
        <w:rPr>
          <w:rFonts w:ascii="Times New Roman" w:hAnsi="Times New Roman" w:cs="Times New Roman"/>
          <w:sz w:val="24"/>
          <w:szCs w:val="24"/>
        </w:rPr>
        <w:t xml:space="preserve">. </w:t>
      </w:r>
      <w:r w:rsidR="00A273CB" w:rsidRPr="00474E88">
        <w:rPr>
          <w:rFonts w:ascii="Times New Roman" w:hAnsi="Times New Roman" w:cs="Times New Roman"/>
          <w:sz w:val="24"/>
          <w:szCs w:val="24"/>
        </w:rPr>
        <w:t xml:space="preserve">Currently in civil litigation, unless points are argued prior to trial and Court minutes are released, parties will not have </w:t>
      </w:r>
      <w:r w:rsidR="00634613">
        <w:rPr>
          <w:rFonts w:ascii="Times New Roman" w:hAnsi="Times New Roman" w:cs="Times New Roman"/>
          <w:sz w:val="24"/>
          <w:szCs w:val="24"/>
        </w:rPr>
        <w:t>an indication as to what position the Court’s will likely adopt</w:t>
      </w:r>
      <w:r w:rsidR="00A273CB" w:rsidRPr="00474E88">
        <w:rPr>
          <w:rFonts w:ascii="Times New Roman" w:hAnsi="Times New Roman" w:cs="Times New Roman"/>
          <w:sz w:val="24"/>
          <w:szCs w:val="24"/>
        </w:rPr>
        <w:t>.</w:t>
      </w:r>
      <w:r w:rsidR="00B1004A">
        <w:rPr>
          <w:rFonts w:ascii="Times New Roman" w:hAnsi="Times New Roman" w:cs="Times New Roman"/>
          <w:sz w:val="24"/>
          <w:szCs w:val="24"/>
        </w:rPr>
        <w:t xml:space="preserve"> </w:t>
      </w:r>
      <w:r w:rsidR="00706BC2" w:rsidRPr="00474E88">
        <w:rPr>
          <w:rFonts w:ascii="Times New Roman" w:hAnsi="Times New Roman" w:cs="Times New Roman"/>
          <w:sz w:val="24"/>
          <w:szCs w:val="24"/>
        </w:rPr>
        <w:t xml:space="preserve">Providing the parties, at an early stage of a proceeding, with the likely position that the Court’s will </w:t>
      </w:r>
      <w:r w:rsidR="005052CB" w:rsidRPr="00474E88">
        <w:rPr>
          <w:rFonts w:ascii="Times New Roman" w:hAnsi="Times New Roman" w:cs="Times New Roman"/>
          <w:sz w:val="24"/>
          <w:szCs w:val="24"/>
        </w:rPr>
        <w:t>enable litigants to make informed decision as to whether pursuing litigation is the best course of action.</w:t>
      </w:r>
      <w:r w:rsidR="00706BC2" w:rsidRPr="00474E88">
        <w:rPr>
          <w:rFonts w:ascii="Times New Roman" w:hAnsi="Times New Roman" w:cs="Times New Roman"/>
          <w:sz w:val="24"/>
          <w:szCs w:val="24"/>
        </w:rPr>
        <w:t xml:space="preserve"> </w:t>
      </w:r>
      <w:r w:rsidR="00B1004A">
        <w:rPr>
          <w:rFonts w:ascii="Times New Roman" w:hAnsi="Times New Roman" w:cs="Times New Roman"/>
          <w:sz w:val="24"/>
          <w:szCs w:val="24"/>
        </w:rPr>
        <w:t xml:space="preserve">This early understanding would enable litigants to reconsider their position at an early stage of the proceeding before the expenditure of time and money has become </w:t>
      </w:r>
      <w:proofErr w:type="spellStart"/>
      <w:r w:rsidR="00B1004A">
        <w:rPr>
          <w:rFonts w:ascii="Times New Roman" w:hAnsi="Times New Roman" w:cs="Times New Roman"/>
          <w:sz w:val="24"/>
          <w:szCs w:val="24"/>
        </w:rPr>
        <w:t>to</w:t>
      </w:r>
      <w:proofErr w:type="spellEnd"/>
      <w:r w:rsidR="00B1004A">
        <w:rPr>
          <w:rFonts w:ascii="Times New Roman" w:hAnsi="Times New Roman" w:cs="Times New Roman"/>
          <w:sz w:val="24"/>
          <w:szCs w:val="24"/>
        </w:rPr>
        <w:t xml:space="preserve"> great. </w:t>
      </w:r>
    </w:p>
    <w:p w14:paraId="7C15E154" w14:textId="6E725823" w:rsidR="003048E6" w:rsidRDefault="003048E6" w:rsidP="00474E88">
      <w:pPr>
        <w:spacing w:line="360" w:lineRule="auto"/>
        <w:jc w:val="both"/>
        <w:rPr>
          <w:rFonts w:ascii="Times New Roman" w:hAnsi="Times New Roman" w:cs="Times New Roman"/>
          <w:sz w:val="24"/>
          <w:szCs w:val="24"/>
        </w:rPr>
      </w:pPr>
    </w:p>
    <w:p w14:paraId="71ACE2A5" w14:textId="6D57704B" w:rsidR="008C3613" w:rsidRDefault="001402AB" w:rsidP="00315CA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usefulness of gaining an early understanding of the Court’s likely view lies in options available to a party for the resolution of a dispute. It becomes harder for a party to choose another avenue for resolution as they get closer to a trial date and more costs have been </w:t>
      </w:r>
      <w:r>
        <w:rPr>
          <w:rFonts w:ascii="Times New Roman" w:hAnsi="Times New Roman" w:cs="Times New Roman"/>
          <w:sz w:val="24"/>
          <w:szCs w:val="24"/>
        </w:rPr>
        <w:lastRenderedPageBreak/>
        <w:t xml:space="preserve">incurred. This proposition gives a party, if needed, an avenue to seek a settlement at an early stage of litigation. Although this stage is always available to a </w:t>
      </w:r>
      <w:r w:rsidR="00315CAA">
        <w:rPr>
          <w:rFonts w:ascii="Times New Roman" w:hAnsi="Times New Roman" w:cs="Times New Roman"/>
          <w:sz w:val="24"/>
          <w:szCs w:val="24"/>
        </w:rPr>
        <w:t>party, parties are not always aware that this is the most beneficial option until they are informed of the Court’s position. This view is consistent with the current intention of the Committee as encouraging a party to resolve disputes outside of the Court is the more cost-effective and time-efficient option. Therefore, the fact that the proposition will provide parties with an early informed view of the Court’s probable position is a positive aspect of the reform.</w:t>
      </w:r>
    </w:p>
    <w:p w14:paraId="59E65014" w14:textId="77777777" w:rsidR="00315CAA" w:rsidRPr="008C3613" w:rsidRDefault="00315CAA" w:rsidP="00315CAA">
      <w:pPr>
        <w:spacing w:line="360" w:lineRule="auto"/>
        <w:jc w:val="both"/>
        <w:rPr>
          <w:rFonts w:ascii="Times New Roman" w:hAnsi="Times New Roman" w:cs="Times New Roman"/>
          <w:b/>
          <w:bCs/>
        </w:rPr>
      </w:pPr>
    </w:p>
    <w:p w14:paraId="04ECE6BB" w14:textId="624773D0" w:rsidR="00706BC2" w:rsidRPr="001402AB" w:rsidRDefault="00ED5E4F" w:rsidP="00706BC2">
      <w:pPr>
        <w:pStyle w:val="ListParagraph"/>
        <w:numPr>
          <w:ilvl w:val="0"/>
          <w:numId w:val="1"/>
        </w:numPr>
        <w:spacing w:line="360" w:lineRule="auto"/>
        <w:ind w:hanging="720"/>
        <w:jc w:val="both"/>
        <w:rPr>
          <w:rFonts w:ascii="Times New Roman" w:hAnsi="Times New Roman" w:cs="Times New Roman"/>
          <w:i/>
          <w:iCs/>
          <w:sz w:val="28"/>
          <w:szCs w:val="28"/>
        </w:rPr>
      </w:pPr>
      <w:r>
        <w:rPr>
          <w:rFonts w:ascii="Times New Roman" w:hAnsi="Times New Roman" w:cs="Times New Roman"/>
          <w:i/>
          <w:iCs/>
          <w:sz w:val="28"/>
          <w:szCs w:val="28"/>
        </w:rPr>
        <w:t>Impact on Court Costs</w:t>
      </w:r>
    </w:p>
    <w:p w14:paraId="4A273F35" w14:textId="348C7E0C" w:rsidR="00CB75B8" w:rsidRDefault="00ED5E4F" w:rsidP="00D55031">
      <w:pPr>
        <w:spacing w:line="360" w:lineRule="auto"/>
        <w:jc w:val="both"/>
        <w:rPr>
          <w:rFonts w:ascii="Times New Roman" w:hAnsi="Times New Roman" w:cs="Times New Roman"/>
          <w:sz w:val="24"/>
          <w:szCs w:val="24"/>
        </w:rPr>
      </w:pPr>
      <w:r w:rsidRPr="00ED5E4F">
        <w:rPr>
          <w:rFonts w:ascii="Times New Roman" w:hAnsi="Times New Roman" w:cs="Times New Roman"/>
          <w:sz w:val="24"/>
          <w:szCs w:val="24"/>
        </w:rPr>
        <w:t xml:space="preserve">The Committee outlined that requiring all proceedings to commence with a mandatory summary judgment application would </w:t>
      </w:r>
      <w:r>
        <w:rPr>
          <w:rFonts w:ascii="Times New Roman" w:hAnsi="Times New Roman" w:cs="Times New Roman"/>
          <w:sz w:val="24"/>
          <w:szCs w:val="24"/>
        </w:rPr>
        <w:t>reduce the costs incurred by parties throughout civil litigation.</w:t>
      </w:r>
      <w:r w:rsidR="00D55031">
        <w:rPr>
          <w:rStyle w:val="FootnoteReference"/>
          <w:rFonts w:ascii="Times New Roman" w:hAnsi="Times New Roman" w:cs="Times New Roman"/>
          <w:sz w:val="24"/>
          <w:szCs w:val="24"/>
        </w:rPr>
        <w:footnoteReference w:id="11"/>
      </w:r>
      <w:r w:rsidR="00090289">
        <w:rPr>
          <w:rFonts w:ascii="Times New Roman" w:hAnsi="Times New Roman" w:cs="Times New Roman"/>
          <w:sz w:val="24"/>
          <w:szCs w:val="24"/>
        </w:rPr>
        <w:t xml:space="preserve"> It was suggested by the Committee that this proposition would enable parties to identify the most cost-effective avenue to pursue in ordinary proceedings. The</w:t>
      </w:r>
      <w:r w:rsidR="003048E6">
        <w:rPr>
          <w:rFonts w:ascii="Times New Roman" w:hAnsi="Times New Roman" w:cs="Times New Roman"/>
          <w:sz w:val="24"/>
          <w:szCs w:val="24"/>
        </w:rPr>
        <w:t xml:space="preserve"> Committee’s intention to streamline litigation arises from the justice gap resulting from the cost of proceedings. Parties to a proceeding are not being adequately represented in many instances due to the significant cost that would be incurred by hiring lawyers.</w:t>
      </w:r>
      <w:r w:rsidR="00D55031">
        <w:rPr>
          <w:rStyle w:val="FootnoteReference"/>
          <w:rFonts w:ascii="Times New Roman" w:hAnsi="Times New Roman" w:cs="Times New Roman"/>
          <w:sz w:val="24"/>
          <w:szCs w:val="24"/>
        </w:rPr>
        <w:footnoteReference w:id="12"/>
      </w:r>
      <w:r w:rsidR="003048E6">
        <w:rPr>
          <w:rFonts w:ascii="Times New Roman" w:hAnsi="Times New Roman" w:cs="Times New Roman"/>
          <w:sz w:val="24"/>
          <w:szCs w:val="24"/>
        </w:rPr>
        <w:t xml:space="preserve"> These significant costs are a result from disagreements such as the scope of discovery and issues in contention which this proposition is attempting to remedy. </w:t>
      </w:r>
      <w:r w:rsidR="00D55031">
        <w:rPr>
          <w:rFonts w:ascii="Times New Roman" w:hAnsi="Times New Roman" w:cs="Times New Roman"/>
          <w:sz w:val="24"/>
          <w:szCs w:val="24"/>
        </w:rPr>
        <w:t>“</w:t>
      </w:r>
      <w:r w:rsidR="00D55031" w:rsidRPr="00D55031">
        <w:rPr>
          <w:rFonts w:ascii="Times New Roman" w:hAnsi="Times New Roman" w:cs="Times New Roman"/>
          <w:i/>
          <w:iCs/>
          <w:sz w:val="24"/>
          <w:szCs w:val="24"/>
        </w:rPr>
        <w:t>The number of documents requiring consideration can be huge, the time required can run into months, and the cost to the parties of the whole process can be enormous.</w:t>
      </w:r>
      <w:r w:rsidR="00D55031">
        <w:rPr>
          <w:rFonts w:ascii="Times New Roman" w:hAnsi="Times New Roman" w:cs="Times New Roman"/>
          <w:sz w:val="24"/>
          <w:szCs w:val="24"/>
        </w:rPr>
        <w:t>”</w:t>
      </w:r>
      <w:r w:rsidR="00D55031">
        <w:rPr>
          <w:rStyle w:val="FootnoteReference"/>
          <w:rFonts w:ascii="Times New Roman" w:hAnsi="Times New Roman" w:cs="Times New Roman"/>
          <w:sz w:val="24"/>
          <w:szCs w:val="24"/>
        </w:rPr>
        <w:footnoteReference w:id="13"/>
      </w:r>
      <w:r w:rsidR="00D55031">
        <w:rPr>
          <w:rFonts w:ascii="Times New Roman" w:hAnsi="Times New Roman" w:cs="Times New Roman"/>
          <w:sz w:val="24"/>
          <w:szCs w:val="24"/>
        </w:rPr>
        <w:t xml:space="preserve"> </w:t>
      </w:r>
      <w:r w:rsidR="00CB75B8">
        <w:rPr>
          <w:rFonts w:ascii="Times New Roman" w:hAnsi="Times New Roman" w:cs="Times New Roman"/>
          <w:sz w:val="24"/>
          <w:szCs w:val="24"/>
        </w:rPr>
        <w:t>An early determination of the scope of discovery could potentially save some costs in the ordinary proceeding however the</w:t>
      </w:r>
      <w:r w:rsidR="00D55031">
        <w:rPr>
          <w:rFonts w:ascii="Times New Roman" w:hAnsi="Times New Roman" w:cs="Times New Roman"/>
          <w:sz w:val="24"/>
          <w:szCs w:val="24"/>
        </w:rPr>
        <w:t xml:space="preserve"> </w:t>
      </w:r>
      <w:r w:rsidR="00CB75B8">
        <w:rPr>
          <w:rFonts w:ascii="Times New Roman" w:hAnsi="Times New Roman" w:cs="Times New Roman"/>
          <w:sz w:val="24"/>
          <w:szCs w:val="24"/>
        </w:rPr>
        <w:t xml:space="preserve">costs incurred by pursuing two applications, being a summary judgment application and the following claim, would be greater that the potential savings. Adding a mandatory summary judgment application increases hearing fees and the costs of lawyers which outweighs the potential reduction of costs. </w:t>
      </w:r>
    </w:p>
    <w:p w14:paraId="0CB15427" w14:textId="45420B4D" w:rsidR="00A61696" w:rsidRPr="001402AB" w:rsidRDefault="003048E6" w:rsidP="00ED5E4F">
      <w:pPr>
        <w:spacing w:line="360" w:lineRule="auto"/>
        <w:jc w:val="both"/>
        <w:rPr>
          <w:rFonts w:ascii="Times New Roman" w:hAnsi="Times New Roman" w:cs="Times New Roman"/>
          <w:sz w:val="24"/>
          <w:szCs w:val="24"/>
        </w:rPr>
      </w:pPr>
      <w:r>
        <w:rPr>
          <w:rFonts w:ascii="Times New Roman" w:hAnsi="Times New Roman" w:cs="Times New Roman"/>
          <w:sz w:val="24"/>
          <w:szCs w:val="24"/>
        </w:rPr>
        <w:t>The Committee’s proposition to reduce the costs of civil litigation is unsatisfactory. A compulsory triage mechanism of a summary judgment application will not extinguish the disagreements. It will merely determine whether the disagreements are necessary</w:t>
      </w:r>
      <w:r w:rsidR="00A61696">
        <w:rPr>
          <w:rFonts w:ascii="Times New Roman" w:hAnsi="Times New Roman" w:cs="Times New Roman"/>
          <w:sz w:val="24"/>
          <w:szCs w:val="24"/>
        </w:rPr>
        <w:t xml:space="preserve">. </w:t>
      </w:r>
      <w:r>
        <w:rPr>
          <w:rFonts w:ascii="Times New Roman" w:hAnsi="Times New Roman" w:cs="Times New Roman"/>
          <w:sz w:val="24"/>
          <w:szCs w:val="24"/>
        </w:rPr>
        <w:t xml:space="preserve">This therefore demonstrates that a reduction in costs will only occur if the triage mechanism will </w:t>
      </w:r>
      <w:r>
        <w:rPr>
          <w:rFonts w:ascii="Times New Roman" w:hAnsi="Times New Roman" w:cs="Times New Roman"/>
          <w:sz w:val="24"/>
          <w:szCs w:val="24"/>
        </w:rPr>
        <w:lastRenderedPageBreak/>
        <w:t xml:space="preserve">reduce the number of claims that will </w:t>
      </w:r>
      <w:r w:rsidR="00A61696">
        <w:rPr>
          <w:rFonts w:ascii="Times New Roman" w:hAnsi="Times New Roman" w:cs="Times New Roman"/>
          <w:sz w:val="24"/>
          <w:szCs w:val="24"/>
        </w:rPr>
        <w:t>carry on to</w:t>
      </w:r>
      <w:r>
        <w:rPr>
          <w:rFonts w:ascii="Times New Roman" w:hAnsi="Times New Roman" w:cs="Times New Roman"/>
          <w:sz w:val="24"/>
          <w:szCs w:val="24"/>
        </w:rPr>
        <w:t xml:space="preserve"> ordinary proceedings. As set out above, this reduction will be insignificant. </w:t>
      </w:r>
    </w:p>
    <w:p w14:paraId="5A584AF4" w14:textId="0399886B" w:rsidR="00605A69" w:rsidRPr="001402AB" w:rsidRDefault="008C3613" w:rsidP="00731727">
      <w:pPr>
        <w:pStyle w:val="ListParagraph"/>
        <w:numPr>
          <w:ilvl w:val="0"/>
          <w:numId w:val="1"/>
        </w:numPr>
        <w:spacing w:line="360" w:lineRule="auto"/>
        <w:ind w:hanging="720"/>
        <w:jc w:val="both"/>
        <w:rPr>
          <w:rFonts w:ascii="Times New Roman" w:hAnsi="Times New Roman" w:cs="Times New Roman"/>
          <w:i/>
          <w:iCs/>
          <w:sz w:val="28"/>
          <w:szCs w:val="28"/>
        </w:rPr>
      </w:pPr>
      <w:r w:rsidRPr="00801A63">
        <w:rPr>
          <w:rFonts w:ascii="Times New Roman" w:hAnsi="Times New Roman" w:cs="Times New Roman"/>
          <w:i/>
          <w:iCs/>
          <w:sz w:val="28"/>
          <w:szCs w:val="28"/>
        </w:rPr>
        <w:t>Conclusion</w:t>
      </w:r>
    </w:p>
    <w:p w14:paraId="2B3136DB" w14:textId="711F4D05" w:rsidR="00D302EB" w:rsidRDefault="00605A69" w:rsidP="007317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conclusion, the Committee’s reformative proposition to make summary judgment applications mandatory before the commencement of ordinary proceedings should be firmly disregarded. The purpose of </w:t>
      </w:r>
      <w:r w:rsidR="001256B1">
        <w:rPr>
          <w:rFonts w:ascii="Times New Roman" w:hAnsi="Times New Roman" w:cs="Times New Roman"/>
          <w:sz w:val="24"/>
          <w:szCs w:val="24"/>
        </w:rPr>
        <w:t xml:space="preserve">a </w:t>
      </w:r>
      <w:r>
        <w:rPr>
          <w:rFonts w:ascii="Times New Roman" w:hAnsi="Times New Roman" w:cs="Times New Roman"/>
          <w:sz w:val="24"/>
          <w:szCs w:val="24"/>
        </w:rPr>
        <w:t xml:space="preserve">summary judgment application is to </w:t>
      </w:r>
      <w:r w:rsidR="00273C02">
        <w:rPr>
          <w:rFonts w:ascii="Times New Roman" w:hAnsi="Times New Roman" w:cs="Times New Roman"/>
          <w:sz w:val="24"/>
          <w:szCs w:val="24"/>
        </w:rPr>
        <w:t xml:space="preserve">provide </w:t>
      </w:r>
      <w:r w:rsidR="001256B1">
        <w:rPr>
          <w:rFonts w:ascii="Times New Roman" w:hAnsi="Times New Roman" w:cs="Times New Roman"/>
          <w:sz w:val="24"/>
          <w:szCs w:val="24"/>
        </w:rPr>
        <w:t>a party,</w:t>
      </w:r>
      <w:r w:rsidR="00273C02">
        <w:rPr>
          <w:rFonts w:ascii="Times New Roman" w:hAnsi="Times New Roman" w:cs="Times New Roman"/>
          <w:sz w:val="24"/>
          <w:szCs w:val="24"/>
        </w:rPr>
        <w:t xml:space="preserve"> who believe</w:t>
      </w:r>
      <w:r w:rsidR="001256B1">
        <w:rPr>
          <w:rFonts w:ascii="Times New Roman" w:hAnsi="Times New Roman" w:cs="Times New Roman"/>
          <w:sz w:val="24"/>
          <w:szCs w:val="24"/>
        </w:rPr>
        <w:t>s</w:t>
      </w:r>
      <w:r w:rsidR="00273C02">
        <w:rPr>
          <w:rFonts w:ascii="Times New Roman" w:hAnsi="Times New Roman" w:cs="Times New Roman"/>
          <w:sz w:val="24"/>
          <w:szCs w:val="24"/>
        </w:rPr>
        <w:t xml:space="preserve"> that they have a ‘knockout blow’</w:t>
      </w:r>
      <w:r w:rsidR="001256B1">
        <w:rPr>
          <w:rFonts w:ascii="Times New Roman" w:hAnsi="Times New Roman" w:cs="Times New Roman"/>
          <w:sz w:val="24"/>
          <w:szCs w:val="24"/>
        </w:rPr>
        <w:t>,</w:t>
      </w:r>
      <w:r w:rsidR="00273C02">
        <w:rPr>
          <w:rFonts w:ascii="Times New Roman" w:hAnsi="Times New Roman" w:cs="Times New Roman"/>
          <w:sz w:val="24"/>
          <w:szCs w:val="24"/>
        </w:rPr>
        <w:t xml:space="preserve"> </w:t>
      </w:r>
      <w:r>
        <w:rPr>
          <w:rFonts w:ascii="Times New Roman" w:hAnsi="Times New Roman" w:cs="Times New Roman"/>
          <w:sz w:val="24"/>
          <w:szCs w:val="24"/>
        </w:rPr>
        <w:t xml:space="preserve">with a mechanism to </w:t>
      </w:r>
      <w:r w:rsidR="007C6809">
        <w:rPr>
          <w:rFonts w:ascii="Times New Roman" w:hAnsi="Times New Roman" w:cs="Times New Roman"/>
          <w:sz w:val="24"/>
          <w:szCs w:val="24"/>
        </w:rPr>
        <w:t xml:space="preserve">deliver </w:t>
      </w:r>
      <w:r>
        <w:rPr>
          <w:rFonts w:ascii="Times New Roman" w:hAnsi="Times New Roman" w:cs="Times New Roman"/>
          <w:sz w:val="24"/>
          <w:szCs w:val="24"/>
        </w:rPr>
        <w:t xml:space="preserve">a ‘knockout blow’ to </w:t>
      </w:r>
      <w:r w:rsidR="00273C02">
        <w:rPr>
          <w:rFonts w:ascii="Times New Roman" w:hAnsi="Times New Roman" w:cs="Times New Roman"/>
          <w:sz w:val="24"/>
          <w:szCs w:val="24"/>
        </w:rPr>
        <w:t xml:space="preserve">the other party. </w:t>
      </w:r>
      <w:r w:rsidR="001256B1">
        <w:rPr>
          <w:rFonts w:ascii="Times New Roman" w:hAnsi="Times New Roman" w:cs="Times New Roman"/>
          <w:sz w:val="24"/>
          <w:szCs w:val="24"/>
        </w:rPr>
        <w:t xml:space="preserve">The </w:t>
      </w:r>
      <w:r w:rsidR="00273C02">
        <w:rPr>
          <w:rFonts w:ascii="Times New Roman" w:hAnsi="Times New Roman" w:cs="Times New Roman"/>
          <w:sz w:val="24"/>
          <w:szCs w:val="24"/>
        </w:rPr>
        <w:t>instances where these applications are successful are minute a</w:t>
      </w:r>
      <w:r w:rsidR="00045DC9">
        <w:rPr>
          <w:rFonts w:ascii="Times New Roman" w:hAnsi="Times New Roman" w:cs="Times New Roman"/>
          <w:sz w:val="24"/>
          <w:szCs w:val="24"/>
        </w:rPr>
        <w:t xml:space="preserve">s a party must satisfy the Court that </w:t>
      </w:r>
      <w:r w:rsidR="0009339B">
        <w:rPr>
          <w:rFonts w:ascii="Times New Roman" w:hAnsi="Times New Roman" w:cs="Times New Roman"/>
          <w:sz w:val="24"/>
          <w:szCs w:val="24"/>
        </w:rPr>
        <w:t>the other party has “no</w:t>
      </w:r>
      <w:r w:rsidR="0009339B" w:rsidRPr="0009339B">
        <w:rPr>
          <w:rFonts w:ascii="Times New Roman" w:hAnsi="Times New Roman" w:cs="Times New Roman"/>
          <w:sz w:val="24"/>
          <w:szCs w:val="24"/>
        </w:rPr>
        <w:t xml:space="preserve"> reasonably arguable defence</w:t>
      </w:r>
      <w:r w:rsidR="0009339B">
        <w:rPr>
          <w:rFonts w:ascii="Times New Roman" w:hAnsi="Times New Roman" w:cs="Times New Roman"/>
          <w:sz w:val="24"/>
          <w:szCs w:val="24"/>
        </w:rPr>
        <w:t>”</w:t>
      </w:r>
      <w:r w:rsidR="0009339B">
        <w:rPr>
          <w:rStyle w:val="FootnoteReference"/>
          <w:rFonts w:ascii="Times New Roman" w:hAnsi="Times New Roman" w:cs="Times New Roman"/>
          <w:sz w:val="24"/>
          <w:szCs w:val="24"/>
        </w:rPr>
        <w:footnoteReference w:id="14"/>
      </w:r>
      <w:r w:rsidR="00045DC9">
        <w:rPr>
          <w:rFonts w:ascii="Times New Roman" w:hAnsi="Times New Roman" w:cs="Times New Roman"/>
          <w:sz w:val="24"/>
          <w:szCs w:val="24"/>
        </w:rPr>
        <w:t>.</w:t>
      </w:r>
      <w:r w:rsidR="00D302EB">
        <w:rPr>
          <w:rFonts w:ascii="Times New Roman" w:hAnsi="Times New Roman" w:cs="Times New Roman"/>
          <w:sz w:val="24"/>
          <w:szCs w:val="24"/>
        </w:rPr>
        <w:t xml:space="preserve"> Therefore, it cannot be argued that this reform will reduce the amount of proceedings that carry on to ordinary or complex proceedings.</w:t>
      </w:r>
    </w:p>
    <w:p w14:paraId="07B18F2E" w14:textId="6E64FC1C" w:rsidR="00045DC9" w:rsidRDefault="00D302EB" w:rsidP="00731727">
      <w:pPr>
        <w:spacing w:line="360" w:lineRule="auto"/>
        <w:jc w:val="both"/>
        <w:rPr>
          <w:rFonts w:ascii="Times New Roman" w:hAnsi="Times New Roman" w:cs="Times New Roman"/>
          <w:sz w:val="24"/>
          <w:szCs w:val="24"/>
        </w:rPr>
      </w:pPr>
      <w:r>
        <w:rPr>
          <w:rFonts w:ascii="Times New Roman" w:hAnsi="Times New Roman" w:cs="Times New Roman"/>
          <w:sz w:val="24"/>
          <w:szCs w:val="24"/>
        </w:rPr>
        <w:t>The Committee set out that</w:t>
      </w:r>
      <w:r w:rsidR="00045DC9">
        <w:rPr>
          <w:rFonts w:ascii="Times New Roman" w:hAnsi="Times New Roman" w:cs="Times New Roman"/>
          <w:sz w:val="24"/>
          <w:szCs w:val="24"/>
        </w:rPr>
        <w:t xml:space="preserve"> the benefit of mandating this triage reform </w:t>
      </w:r>
      <w:r>
        <w:rPr>
          <w:rFonts w:ascii="Times New Roman" w:hAnsi="Times New Roman" w:cs="Times New Roman"/>
          <w:sz w:val="24"/>
          <w:szCs w:val="24"/>
        </w:rPr>
        <w:t>stems from the</w:t>
      </w:r>
      <w:r w:rsidR="00045DC9">
        <w:rPr>
          <w:rFonts w:ascii="Times New Roman" w:hAnsi="Times New Roman" w:cs="Times New Roman"/>
          <w:sz w:val="24"/>
          <w:szCs w:val="24"/>
        </w:rPr>
        <w:t xml:space="preserve"> basis that </w:t>
      </w:r>
      <w:r>
        <w:rPr>
          <w:rFonts w:ascii="Times New Roman" w:hAnsi="Times New Roman" w:cs="Times New Roman"/>
          <w:sz w:val="24"/>
          <w:szCs w:val="24"/>
        </w:rPr>
        <w:t xml:space="preserve">the </w:t>
      </w:r>
      <w:r w:rsidR="00045DC9">
        <w:rPr>
          <w:rFonts w:ascii="Times New Roman" w:hAnsi="Times New Roman" w:cs="Times New Roman"/>
          <w:sz w:val="24"/>
          <w:szCs w:val="24"/>
        </w:rPr>
        <w:t xml:space="preserve">early clarification of issues and evidence will benefit civil procedure. This is not the case. Whether these debates occur at an early stage of proceedings or during ordinary proceedings </w:t>
      </w:r>
      <w:r>
        <w:rPr>
          <w:rFonts w:ascii="Times New Roman" w:hAnsi="Times New Roman" w:cs="Times New Roman"/>
          <w:sz w:val="24"/>
          <w:szCs w:val="24"/>
        </w:rPr>
        <w:t>will</w:t>
      </w:r>
      <w:r w:rsidR="00045DC9">
        <w:rPr>
          <w:rFonts w:ascii="Times New Roman" w:hAnsi="Times New Roman" w:cs="Times New Roman"/>
          <w:sz w:val="24"/>
          <w:szCs w:val="24"/>
        </w:rPr>
        <w:t xml:space="preserve"> not change the fact that these debates will still occur.</w:t>
      </w:r>
      <w:r>
        <w:rPr>
          <w:rFonts w:ascii="Times New Roman" w:hAnsi="Times New Roman" w:cs="Times New Roman"/>
          <w:sz w:val="24"/>
          <w:szCs w:val="24"/>
        </w:rPr>
        <w:t xml:space="preserve"> The time and costs associated with these proceedings will not alter over the whole period and the justice gap will not be repaired.</w:t>
      </w:r>
      <w:r w:rsidR="00045DC9">
        <w:rPr>
          <w:rFonts w:ascii="Times New Roman" w:hAnsi="Times New Roman" w:cs="Times New Roman"/>
          <w:sz w:val="24"/>
          <w:szCs w:val="24"/>
        </w:rPr>
        <w:t xml:space="preserve"> Therefore, </w:t>
      </w:r>
      <w:r>
        <w:rPr>
          <w:rFonts w:ascii="Times New Roman" w:hAnsi="Times New Roman" w:cs="Times New Roman"/>
          <w:sz w:val="24"/>
          <w:szCs w:val="24"/>
        </w:rPr>
        <w:t>it cannot be argued that the</w:t>
      </w:r>
      <w:r w:rsidR="00045DC9">
        <w:rPr>
          <w:rFonts w:ascii="Times New Roman" w:hAnsi="Times New Roman" w:cs="Times New Roman"/>
          <w:sz w:val="24"/>
          <w:szCs w:val="24"/>
        </w:rPr>
        <w:t xml:space="preserve"> Committee’s reformative proposition will </w:t>
      </w:r>
      <w:r>
        <w:rPr>
          <w:rFonts w:ascii="Times New Roman" w:hAnsi="Times New Roman" w:cs="Times New Roman"/>
          <w:sz w:val="24"/>
          <w:szCs w:val="24"/>
        </w:rPr>
        <w:t>streamline litigation</w:t>
      </w:r>
      <w:r w:rsidR="00D35709">
        <w:rPr>
          <w:rFonts w:ascii="Times New Roman" w:hAnsi="Times New Roman" w:cs="Times New Roman"/>
          <w:sz w:val="24"/>
          <w:szCs w:val="24"/>
        </w:rPr>
        <w:t xml:space="preserve">. On that basis, the Committee should not implement this reform into the High Court rules as it will add an unnecessary hurdle into the civil litigation procedure. </w:t>
      </w:r>
    </w:p>
    <w:p w14:paraId="45BA2E52" w14:textId="4F497265" w:rsidR="00605A69" w:rsidRPr="00605A69" w:rsidRDefault="00605A69" w:rsidP="00731727">
      <w:pPr>
        <w:spacing w:line="360" w:lineRule="auto"/>
        <w:jc w:val="both"/>
        <w:rPr>
          <w:rFonts w:ascii="Times New Roman" w:hAnsi="Times New Roman" w:cs="Times New Roman"/>
          <w:sz w:val="24"/>
          <w:szCs w:val="24"/>
        </w:rPr>
      </w:pPr>
    </w:p>
    <w:sectPr w:rsidR="00605A69" w:rsidRPr="00605A6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9928D" w14:textId="77777777" w:rsidR="00940F6B" w:rsidRDefault="00940F6B" w:rsidP="007245A9">
      <w:pPr>
        <w:spacing w:after="0" w:line="240" w:lineRule="auto"/>
      </w:pPr>
      <w:r>
        <w:separator/>
      </w:r>
    </w:p>
  </w:endnote>
  <w:endnote w:type="continuationSeparator" w:id="0">
    <w:p w14:paraId="31F5A827" w14:textId="77777777" w:rsidR="00940F6B" w:rsidRDefault="00940F6B" w:rsidP="00724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44835" w14:textId="77777777" w:rsidR="00940F6B" w:rsidRDefault="00940F6B" w:rsidP="007245A9">
      <w:pPr>
        <w:spacing w:after="0" w:line="240" w:lineRule="auto"/>
      </w:pPr>
      <w:r>
        <w:separator/>
      </w:r>
    </w:p>
  </w:footnote>
  <w:footnote w:type="continuationSeparator" w:id="0">
    <w:p w14:paraId="288BF6D3" w14:textId="77777777" w:rsidR="00940F6B" w:rsidRDefault="00940F6B" w:rsidP="007245A9">
      <w:pPr>
        <w:spacing w:after="0" w:line="240" w:lineRule="auto"/>
      </w:pPr>
      <w:r>
        <w:continuationSeparator/>
      </w:r>
    </w:p>
  </w:footnote>
  <w:footnote w:id="1">
    <w:p w14:paraId="7E2A2895" w14:textId="4386CC12" w:rsidR="000C25A7" w:rsidRPr="000C25A7" w:rsidRDefault="000C25A7" w:rsidP="000C25A7">
      <w:pPr>
        <w:pStyle w:val="FootnoteText"/>
      </w:pPr>
      <w:r>
        <w:rPr>
          <w:rStyle w:val="FootnoteReference"/>
        </w:rPr>
        <w:footnoteRef/>
      </w:r>
      <w:r>
        <w:t xml:space="preserve"> The Rules Committee </w:t>
      </w:r>
      <w:r>
        <w:rPr>
          <w:i/>
          <w:iCs/>
        </w:rPr>
        <w:t xml:space="preserve">Improving Access to Civil Justice </w:t>
      </w:r>
      <w:r>
        <w:t xml:space="preserve">(11 December 2019) at </w:t>
      </w:r>
      <w:r w:rsidR="00315CAA">
        <w:t>37</w:t>
      </w:r>
      <w:r>
        <w:t>.</w:t>
      </w:r>
    </w:p>
  </w:footnote>
  <w:footnote w:id="2">
    <w:p w14:paraId="48042156" w14:textId="77777777" w:rsidR="00382B52" w:rsidRDefault="00382B52" w:rsidP="00382B52">
      <w:pPr>
        <w:pStyle w:val="FootnoteText"/>
      </w:pPr>
      <w:r>
        <w:rPr>
          <w:rStyle w:val="FootnoteReference"/>
        </w:rPr>
        <w:footnoteRef/>
      </w:r>
      <w:r>
        <w:t xml:space="preserve"> Helen Winkelmann “Access to Justice – Who Needs Lawyers” (Ethel Benjamin Address 2014, November</w:t>
      </w:r>
    </w:p>
    <w:p w14:paraId="617FB882" w14:textId="77777777" w:rsidR="00382B52" w:rsidRDefault="00382B52" w:rsidP="00382B52">
      <w:pPr>
        <w:pStyle w:val="FootnoteText"/>
      </w:pPr>
      <w:r>
        <w:t>2014). Available at https://www.courtsofnz.govt.nz/publications/speeches-and-papers/#speechpaperlist-2014.</w:t>
      </w:r>
    </w:p>
  </w:footnote>
  <w:footnote w:id="3">
    <w:p w14:paraId="54456ED0" w14:textId="704DEB3C" w:rsidR="00931862" w:rsidRDefault="00931862" w:rsidP="00931862">
      <w:pPr>
        <w:pStyle w:val="FootnoteText"/>
      </w:pPr>
      <w:r>
        <w:rPr>
          <w:rStyle w:val="FootnoteReference"/>
        </w:rPr>
        <w:footnoteRef/>
      </w:r>
      <w:r>
        <w:t xml:space="preserve"> Adrian </w:t>
      </w:r>
      <w:proofErr w:type="spellStart"/>
      <w:r>
        <w:t>Zuckermann</w:t>
      </w:r>
      <w:proofErr w:type="spellEnd"/>
      <w:r>
        <w:t xml:space="preserve"> “No justice without lawyers — the myth of an inquisitorial solution” (2014) CJQ 355 at 355</w:t>
      </w:r>
    </w:p>
  </w:footnote>
  <w:footnote w:id="4">
    <w:p w14:paraId="74077947" w14:textId="75367F95" w:rsidR="00662855" w:rsidRDefault="00662855">
      <w:pPr>
        <w:pStyle w:val="FootnoteText"/>
      </w:pPr>
      <w:r>
        <w:rPr>
          <w:rStyle w:val="FootnoteReference"/>
        </w:rPr>
        <w:footnoteRef/>
      </w:r>
      <w:r>
        <w:t xml:space="preserve"> Rule 1.2 of the High Court Rules 2016.</w:t>
      </w:r>
    </w:p>
  </w:footnote>
  <w:footnote w:id="5">
    <w:p w14:paraId="1B0F61F5" w14:textId="1F15C0AC" w:rsidR="000C25A7" w:rsidRDefault="000C25A7">
      <w:pPr>
        <w:pStyle w:val="FootnoteText"/>
      </w:pPr>
      <w:r>
        <w:rPr>
          <w:rStyle w:val="FootnoteReference"/>
        </w:rPr>
        <w:footnoteRef/>
      </w:r>
      <w:r>
        <w:t xml:space="preserve"> Rule 12.2 of the High Court Rules 2016.</w:t>
      </w:r>
    </w:p>
  </w:footnote>
  <w:footnote w:id="6">
    <w:p w14:paraId="0402A473" w14:textId="27E83A5B" w:rsidR="007A439D" w:rsidRDefault="007A439D">
      <w:pPr>
        <w:pStyle w:val="FootnoteText"/>
      </w:pPr>
      <w:r>
        <w:rPr>
          <w:rStyle w:val="FootnoteReference"/>
        </w:rPr>
        <w:footnoteRef/>
      </w:r>
      <w:r>
        <w:t xml:space="preserve"> The Rules Committee </w:t>
      </w:r>
      <w:r>
        <w:rPr>
          <w:i/>
          <w:iCs/>
        </w:rPr>
        <w:t xml:space="preserve">Improving Access to Civil Justice </w:t>
      </w:r>
      <w:r>
        <w:t>(11 December 2019) at 40.</w:t>
      </w:r>
    </w:p>
  </w:footnote>
  <w:footnote w:id="7">
    <w:p w14:paraId="41CA0D9E" w14:textId="57F9FF33" w:rsidR="0023458B" w:rsidRDefault="0023458B">
      <w:pPr>
        <w:pStyle w:val="FootnoteText"/>
      </w:pPr>
      <w:r>
        <w:rPr>
          <w:rStyle w:val="FootnoteReference"/>
        </w:rPr>
        <w:footnoteRef/>
      </w:r>
      <w:r>
        <w:t xml:space="preserve"> </w:t>
      </w:r>
      <w:r w:rsidR="00315CAA">
        <w:t xml:space="preserve">The Rules Committee </w:t>
      </w:r>
      <w:r w:rsidR="00315CAA">
        <w:rPr>
          <w:i/>
          <w:iCs/>
        </w:rPr>
        <w:t xml:space="preserve">Improving Access to Civil Justice </w:t>
      </w:r>
      <w:r w:rsidR="00315CAA">
        <w:t>(11 December 2019) at 40(a).</w:t>
      </w:r>
    </w:p>
  </w:footnote>
  <w:footnote w:id="8">
    <w:p w14:paraId="6DE7B79B" w14:textId="523E67CD" w:rsidR="00446941" w:rsidRDefault="00446941">
      <w:pPr>
        <w:pStyle w:val="FootnoteText"/>
      </w:pPr>
      <w:r>
        <w:rPr>
          <w:rStyle w:val="FootnoteReference"/>
        </w:rPr>
        <w:footnoteRef/>
      </w:r>
      <w:r>
        <w:t xml:space="preserve"> Rules 7.1(3) of the High Court Rules 2016.</w:t>
      </w:r>
    </w:p>
  </w:footnote>
  <w:footnote w:id="9">
    <w:p w14:paraId="76CC9EF1" w14:textId="428AE965" w:rsidR="00D55031" w:rsidRDefault="00D55031">
      <w:pPr>
        <w:pStyle w:val="FootnoteText"/>
      </w:pPr>
      <w:r>
        <w:rPr>
          <w:rStyle w:val="FootnoteReference"/>
        </w:rPr>
        <w:footnoteRef/>
      </w:r>
      <w:r>
        <w:t xml:space="preserve"> The Rules Committee </w:t>
      </w:r>
      <w:r>
        <w:rPr>
          <w:i/>
          <w:iCs/>
        </w:rPr>
        <w:t xml:space="preserve">Improving Access to Civil Justice </w:t>
      </w:r>
      <w:r>
        <w:t>(11 December 2019) at 40(b).</w:t>
      </w:r>
    </w:p>
  </w:footnote>
  <w:footnote w:id="10">
    <w:p w14:paraId="3CE6FCC8" w14:textId="05C8A3F6" w:rsidR="00D55031" w:rsidRDefault="00D55031">
      <w:pPr>
        <w:pStyle w:val="FootnoteText"/>
      </w:pPr>
      <w:r>
        <w:rPr>
          <w:rStyle w:val="FootnoteReference"/>
        </w:rPr>
        <w:footnoteRef/>
      </w:r>
      <w:r>
        <w:t xml:space="preserve"> The Rules Committee </w:t>
      </w:r>
      <w:r>
        <w:rPr>
          <w:i/>
          <w:iCs/>
        </w:rPr>
        <w:t xml:space="preserve">Improving Access to Civil Justice </w:t>
      </w:r>
      <w:r>
        <w:t>(11 December 2019) at 40(c).</w:t>
      </w:r>
    </w:p>
  </w:footnote>
  <w:footnote w:id="11">
    <w:p w14:paraId="3E6CB509" w14:textId="6C6DED3A" w:rsidR="00D55031" w:rsidRDefault="00D55031">
      <w:pPr>
        <w:pStyle w:val="FootnoteText"/>
      </w:pPr>
      <w:r>
        <w:rPr>
          <w:rStyle w:val="FootnoteReference"/>
        </w:rPr>
        <w:footnoteRef/>
      </w:r>
      <w:r>
        <w:t xml:space="preserve"> The Rules Committee </w:t>
      </w:r>
      <w:r>
        <w:rPr>
          <w:i/>
          <w:iCs/>
        </w:rPr>
        <w:t xml:space="preserve">Improving Access to Civil Justice </w:t>
      </w:r>
      <w:r>
        <w:t>(11 December 2019) at 40(d).</w:t>
      </w:r>
    </w:p>
  </w:footnote>
  <w:footnote w:id="12">
    <w:p w14:paraId="12A679FE" w14:textId="3E1815FC" w:rsidR="00D55031" w:rsidRDefault="00D55031">
      <w:pPr>
        <w:pStyle w:val="FootnoteText"/>
      </w:pPr>
      <w:r>
        <w:rPr>
          <w:rStyle w:val="FootnoteReference"/>
        </w:rPr>
        <w:footnoteRef/>
      </w:r>
      <w:r>
        <w:t xml:space="preserve"> Nicholas Jones “Access Denied” New Zealand Herald (New Zealand, 4 November 2019).</w:t>
      </w:r>
    </w:p>
  </w:footnote>
  <w:footnote w:id="13">
    <w:p w14:paraId="0CCC71F9" w14:textId="29FC5984" w:rsidR="00D55031" w:rsidRPr="00D55031" w:rsidRDefault="00D55031">
      <w:pPr>
        <w:pStyle w:val="FootnoteText"/>
      </w:pPr>
      <w:r>
        <w:rPr>
          <w:rStyle w:val="FootnoteReference"/>
        </w:rPr>
        <w:footnoteRef/>
      </w:r>
      <w:r>
        <w:t xml:space="preserve"> Law Commission </w:t>
      </w:r>
      <w:r>
        <w:rPr>
          <w:i/>
          <w:iCs/>
        </w:rPr>
        <w:t xml:space="preserve">Reforming the rules of general discovery </w:t>
      </w:r>
      <w:r>
        <w:t>(September 2001).</w:t>
      </w:r>
    </w:p>
  </w:footnote>
  <w:footnote w:id="14">
    <w:p w14:paraId="58DABDAA" w14:textId="52BB524C" w:rsidR="0009339B" w:rsidRDefault="0009339B">
      <w:pPr>
        <w:pStyle w:val="FootnoteText"/>
      </w:pPr>
      <w:r>
        <w:rPr>
          <w:rStyle w:val="FootnoteReference"/>
        </w:rPr>
        <w:footnoteRef/>
      </w:r>
      <w:r>
        <w:t xml:space="preserve"> </w:t>
      </w:r>
      <w:proofErr w:type="spellStart"/>
      <w:r w:rsidRPr="0009339B">
        <w:rPr>
          <w:i/>
          <w:iCs/>
        </w:rPr>
        <w:t>Jowada</w:t>
      </w:r>
      <w:proofErr w:type="spellEnd"/>
      <w:r w:rsidRPr="0009339B">
        <w:rPr>
          <w:i/>
          <w:iCs/>
        </w:rPr>
        <w:t xml:space="preserve"> Holdings Ltd v Cullen Investments Ltd</w:t>
      </w:r>
      <w:r>
        <w:t xml:space="preserve"> CA248/01, 5 June 2003, at [28]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F29FF" w14:textId="4C4B5DFD" w:rsidR="008C3613" w:rsidRPr="00706B01" w:rsidRDefault="008C3613">
    <w:pPr>
      <w:pStyle w:val="Header"/>
    </w:pPr>
    <w:r>
      <w:tab/>
    </w:r>
    <w:r w:rsidR="00706B01">
      <w:tab/>
      <w:t>Lewis Winthrop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D16718"/>
    <w:multiLevelType w:val="hybridMultilevel"/>
    <w:tmpl w:val="884EC0CA"/>
    <w:lvl w:ilvl="0" w:tplc="9B6C166C">
      <w:start w:val="1"/>
      <w:numFmt w:val="upperRoman"/>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69F7908"/>
    <w:multiLevelType w:val="hybridMultilevel"/>
    <w:tmpl w:val="1790384E"/>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A94"/>
    <w:rsid w:val="000424CC"/>
    <w:rsid w:val="00045DC9"/>
    <w:rsid w:val="0006036A"/>
    <w:rsid w:val="00090289"/>
    <w:rsid w:val="0009339B"/>
    <w:rsid w:val="00094FB6"/>
    <w:rsid w:val="000C25A7"/>
    <w:rsid w:val="000F25F2"/>
    <w:rsid w:val="001256B1"/>
    <w:rsid w:val="001402AB"/>
    <w:rsid w:val="001872D9"/>
    <w:rsid w:val="0023458B"/>
    <w:rsid w:val="00273C02"/>
    <w:rsid w:val="002B2519"/>
    <w:rsid w:val="003048E6"/>
    <w:rsid w:val="00315CAA"/>
    <w:rsid w:val="003370F5"/>
    <w:rsid w:val="003603D6"/>
    <w:rsid w:val="00382B52"/>
    <w:rsid w:val="00401E7D"/>
    <w:rsid w:val="00431CA0"/>
    <w:rsid w:val="00446941"/>
    <w:rsid w:val="00474E88"/>
    <w:rsid w:val="004D41EC"/>
    <w:rsid w:val="005052CB"/>
    <w:rsid w:val="00605A69"/>
    <w:rsid w:val="00634613"/>
    <w:rsid w:val="00662855"/>
    <w:rsid w:val="006733EF"/>
    <w:rsid w:val="006A06A5"/>
    <w:rsid w:val="00706B01"/>
    <w:rsid w:val="00706BC2"/>
    <w:rsid w:val="007245A9"/>
    <w:rsid w:val="00731727"/>
    <w:rsid w:val="00742DBC"/>
    <w:rsid w:val="007A439D"/>
    <w:rsid w:val="007C5840"/>
    <w:rsid w:val="007C6809"/>
    <w:rsid w:val="007D7137"/>
    <w:rsid w:val="007F2707"/>
    <w:rsid w:val="00801A63"/>
    <w:rsid w:val="0084319D"/>
    <w:rsid w:val="00883C9B"/>
    <w:rsid w:val="008B0D1D"/>
    <w:rsid w:val="008C0E14"/>
    <w:rsid w:val="008C3613"/>
    <w:rsid w:val="008D361A"/>
    <w:rsid w:val="00931862"/>
    <w:rsid w:val="00940F6B"/>
    <w:rsid w:val="009B5007"/>
    <w:rsid w:val="00A119BC"/>
    <w:rsid w:val="00A1765E"/>
    <w:rsid w:val="00A256F6"/>
    <w:rsid w:val="00A273CB"/>
    <w:rsid w:val="00A61696"/>
    <w:rsid w:val="00A745AA"/>
    <w:rsid w:val="00AC7081"/>
    <w:rsid w:val="00AD6B11"/>
    <w:rsid w:val="00B1004A"/>
    <w:rsid w:val="00B44491"/>
    <w:rsid w:val="00B75B27"/>
    <w:rsid w:val="00C25F49"/>
    <w:rsid w:val="00C51F18"/>
    <w:rsid w:val="00C94ECB"/>
    <w:rsid w:val="00CB75B8"/>
    <w:rsid w:val="00CE13F3"/>
    <w:rsid w:val="00CE2381"/>
    <w:rsid w:val="00D03A67"/>
    <w:rsid w:val="00D302EB"/>
    <w:rsid w:val="00D35709"/>
    <w:rsid w:val="00D55031"/>
    <w:rsid w:val="00E20128"/>
    <w:rsid w:val="00E45C57"/>
    <w:rsid w:val="00E93A94"/>
    <w:rsid w:val="00ED0CAE"/>
    <w:rsid w:val="00ED5E4F"/>
    <w:rsid w:val="00EE4F06"/>
    <w:rsid w:val="00FB35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41227"/>
  <w15:chartTrackingRefBased/>
  <w15:docId w15:val="{EAF930D7-CBA1-4092-8E9D-192399F1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93A94"/>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3A94"/>
    <w:rPr>
      <w:color w:val="0000FF"/>
      <w:u w:val="single"/>
    </w:rPr>
  </w:style>
  <w:style w:type="character" w:styleId="Emphasis">
    <w:name w:val="Emphasis"/>
    <w:basedOn w:val="DefaultParagraphFont"/>
    <w:uiPriority w:val="20"/>
    <w:qFormat/>
    <w:rsid w:val="00E93A94"/>
    <w:rPr>
      <w:i/>
      <w:iCs/>
    </w:rPr>
  </w:style>
  <w:style w:type="character" w:customStyle="1" w:styleId="Heading2Char">
    <w:name w:val="Heading 2 Char"/>
    <w:basedOn w:val="DefaultParagraphFont"/>
    <w:link w:val="Heading2"/>
    <w:uiPriority w:val="9"/>
    <w:rsid w:val="00E93A94"/>
    <w:rPr>
      <w:rFonts w:ascii="Times New Roman" w:eastAsia="Times New Roman" w:hAnsi="Times New Roman" w:cs="Times New Roman"/>
      <w:b/>
      <w:bCs/>
      <w:sz w:val="36"/>
      <w:szCs w:val="36"/>
      <w:lang w:eastAsia="en-NZ"/>
    </w:rPr>
  </w:style>
  <w:style w:type="paragraph" w:customStyle="1" w:styleId="text-left">
    <w:name w:val="text-left"/>
    <w:basedOn w:val="Normal"/>
    <w:rsid w:val="00E93A94"/>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FootnoteText">
    <w:name w:val="footnote text"/>
    <w:basedOn w:val="Normal"/>
    <w:link w:val="FootnoteTextChar"/>
    <w:uiPriority w:val="99"/>
    <w:semiHidden/>
    <w:unhideWhenUsed/>
    <w:rsid w:val="007245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45A9"/>
    <w:rPr>
      <w:sz w:val="20"/>
      <w:szCs w:val="20"/>
    </w:rPr>
  </w:style>
  <w:style w:type="character" w:styleId="FootnoteReference">
    <w:name w:val="footnote reference"/>
    <w:basedOn w:val="DefaultParagraphFont"/>
    <w:uiPriority w:val="99"/>
    <w:semiHidden/>
    <w:unhideWhenUsed/>
    <w:rsid w:val="007245A9"/>
    <w:rPr>
      <w:vertAlign w:val="superscript"/>
    </w:rPr>
  </w:style>
  <w:style w:type="paragraph" w:styleId="ListParagraph">
    <w:name w:val="List Paragraph"/>
    <w:basedOn w:val="Normal"/>
    <w:uiPriority w:val="34"/>
    <w:qFormat/>
    <w:rsid w:val="000C25A7"/>
    <w:pPr>
      <w:ind w:left="720"/>
      <w:contextualSpacing/>
    </w:pPr>
  </w:style>
  <w:style w:type="paragraph" w:styleId="Header">
    <w:name w:val="header"/>
    <w:basedOn w:val="Normal"/>
    <w:link w:val="HeaderChar"/>
    <w:uiPriority w:val="99"/>
    <w:unhideWhenUsed/>
    <w:rsid w:val="008C36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613"/>
  </w:style>
  <w:style w:type="paragraph" w:styleId="Footer">
    <w:name w:val="footer"/>
    <w:basedOn w:val="Normal"/>
    <w:link w:val="FooterChar"/>
    <w:uiPriority w:val="99"/>
    <w:unhideWhenUsed/>
    <w:rsid w:val="008C36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499099">
      <w:bodyDiv w:val="1"/>
      <w:marLeft w:val="0"/>
      <w:marRight w:val="0"/>
      <w:marTop w:val="0"/>
      <w:marBottom w:val="0"/>
      <w:divBdr>
        <w:top w:val="none" w:sz="0" w:space="0" w:color="auto"/>
        <w:left w:val="none" w:sz="0" w:space="0" w:color="auto"/>
        <w:bottom w:val="none" w:sz="0" w:space="0" w:color="auto"/>
        <w:right w:val="none" w:sz="0" w:space="0" w:color="auto"/>
      </w:divBdr>
    </w:div>
    <w:div w:id="150235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D4650-2231-4C11-AFA8-D495ADFAE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winthrop</dc:creator>
  <cp:keywords/>
  <dc:description/>
  <cp:lastModifiedBy>Lewis Winthrop</cp:lastModifiedBy>
  <cp:revision>2</cp:revision>
  <dcterms:created xsi:type="dcterms:W3CDTF">2020-07-14T22:05:00Z</dcterms:created>
  <dcterms:modified xsi:type="dcterms:W3CDTF">2020-07-14T22:05:00Z</dcterms:modified>
</cp:coreProperties>
</file>